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A93BD">
      <w:pPr>
        <w:pStyle w:val="36"/>
        <w:framePr w:wrap="around" w:x="1393" w:y="5749"/>
        <w:rPr>
          <w:color w:val="000000" w:themeColor="text1"/>
          <w14:textFill>
            <w14:solidFill>
              <w14:schemeClr w14:val="tx1"/>
            </w14:solidFill>
          </w14:textFill>
        </w:rPr>
      </w:pPr>
      <w:r>
        <w:rPr>
          <w:rFonts w:hint="eastAsia"/>
          <w:color w:val="000000" w:themeColor="text1"/>
          <w:szCs w:val="52"/>
          <w14:textFill>
            <w14:solidFill>
              <w14:schemeClr w14:val="tx1"/>
            </w14:solidFill>
          </w14:textFill>
        </w:rPr>
        <w:t>非道路柴油移动机械 高原</w:t>
      </w:r>
      <w:r>
        <w:rPr>
          <w:color w:val="000000" w:themeColor="text1"/>
          <w:szCs w:val="52"/>
          <w14:textFill>
            <w14:solidFill>
              <w14:schemeClr w14:val="tx1"/>
            </w14:solidFill>
          </w14:textFill>
        </w:rPr>
        <w:t>排气污染物车载法</w:t>
      </w:r>
      <w:r>
        <w:rPr>
          <w:rFonts w:hint="eastAsia"/>
          <w:color w:val="000000" w:themeColor="text1"/>
          <w:szCs w:val="52"/>
          <w14:textFill>
            <w14:solidFill>
              <w14:schemeClr w14:val="tx1"/>
            </w14:solidFill>
          </w14:textFill>
        </w:rPr>
        <w:t>检测规程</w:t>
      </w:r>
    </w:p>
    <w:p w14:paraId="18B2A1E3">
      <w:pPr>
        <w:pStyle w:val="31"/>
        <w:framePr w:wrap="around" w:x="1393"/>
        <w:rPr>
          <w:rFonts w:hint="eastAsia" w:cs="黑体"/>
        </w:rPr>
      </w:pPr>
      <w:bookmarkStart w:id="0" w:name="_Hlk103243066"/>
      <w:r>
        <w:rPr>
          <w:rFonts w:hint="eastAsia" w:cs="黑体"/>
        </w:rPr>
        <w:t>PEMS method procedures of non-road diesel mobile machinery for plateau</w:t>
      </w:r>
    </w:p>
    <w:p w14:paraId="17F94E58">
      <w:pPr>
        <w:pStyle w:val="32"/>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XX发布</w:t>
      </w:r>
      <w:r>
        <w:rPr>
          <w:rFonts w:ascii="黑体" w:hAnsi="黑体"/>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523F4761">
      <w:pPr>
        <w:pStyle w:val="33"/>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XX实施</w:t>
      </w:r>
    </w:p>
    <w:p w14:paraId="60A24408">
      <w:pPr>
        <w:pStyle w:val="30"/>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14:paraId="4C18C10B">
      <w:pPr>
        <w:pStyle w:val="25"/>
        <w:ind w:firstLine="0" w:firstLineChars="0"/>
        <w:rPr>
          <w:rFonts w:hint="eastAsia" w:ascii="黑体" w:hAnsi="黑体" w:eastAsia="黑体"/>
        </w:rPr>
      </w:pPr>
      <w:r>
        <w:rPr>
          <w:rFonts w:ascii="黑体" w:hAnsi="黑体" w:eastAsia="黑体"/>
        </w:rPr>
        <w:t xml:space="preserve">ICS 27.020 </w:t>
      </w:r>
    </w:p>
    <w:p w14:paraId="6CB2B08A">
      <w:pPr>
        <w:pStyle w:val="35"/>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14:paraId="1E2B8D67">
      <w:pPr>
        <w:pStyle w:val="34"/>
        <w:framePr w:wrap="around" w:y="3481"/>
        <w:wordWrap w:val="0"/>
        <w:rPr>
          <w:rFonts w:hint="eastAsia" w:hAnsi="黑体"/>
        </w:rPr>
      </w:pPr>
      <w:r>
        <w:rPr>
          <w:rFonts w:hint="eastAsia" w:hAnsi="黑体"/>
        </w:rPr>
        <w:t>T</w:t>
      </w:r>
      <w:r>
        <w:rPr>
          <w:rFonts w:hAnsi="黑体"/>
        </w:rPr>
        <w:t xml:space="preserve">/CSICE </w:t>
      </w:r>
      <w:r>
        <w:rPr>
          <w:rFonts w:hint="eastAsia" w:hAnsi="黑体"/>
        </w:rPr>
        <w:t>XXXX-</w:t>
      </w:r>
      <w:r>
        <w:rPr>
          <w:rFonts w:hAnsi="黑体"/>
        </w:rPr>
        <w:t>20</w:t>
      </w:r>
      <w:r>
        <w:rPr>
          <w:rFonts w:hint="eastAsia" w:hAnsi="黑体"/>
        </w:rPr>
        <w:t>XX</w:t>
      </w:r>
    </w:p>
    <w:p w14:paraId="07DC7838">
      <w:pPr>
        <w:pStyle w:val="34"/>
        <w:framePr w:wrap="around" w:y="3481"/>
      </w:pPr>
    </w:p>
    <w:p w14:paraId="2FFCC0FB">
      <w:pPr>
        <w:pStyle w:val="34"/>
        <w:framePr w:wrap="around" w:y="3481"/>
      </w:pPr>
    </w:p>
    <w:p w14:paraId="0E841F59">
      <w:pPr>
        <w:pStyle w:val="25"/>
        <w:ind w:firstLine="0" w:firstLineChars="0"/>
        <w:rPr>
          <w:rFonts w:hint="eastAsia" w:ascii="黑体" w:hAnsi="黑体" w:eastAsia="黑体"/>
        </w:rPr>
      </w:pPr>
      <w:r>
        <w:rPr>
          <w:rFonts w:ascii="黑体" w:hAnsi="黑体" w:eastAsia="黑体"/>
        </w:rPr>
        <w:t>CCS J 92</w: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3405F97E">
      <w:pPr>
        <w:pStyle w:val="25"/>
        <w:ind w:firstLine="420"/>
        <w:rPr>
          <w:rFonts w:hint="eastAsia"/>
        </w:rPr>
        <w:sectPr>
          <w:headerReference r:id="rId4" w:type="first"/>
          <w:headerReference r:id="rId3" w:type="even"/>
          <w:footerReference r:id="rId5" w:type="even"/>
          <w:pgSz w:w="11906" w:h="16838"/>
          <w:pgMar w:top="567" w:right="1134" w:bottom="1134" w:left="1418" w:header="567" w:footer="1134" w:gutter="0"/>
          <w:pgBorders>
            <w:top w:val="none" w:sz="0" w:space="0"/>
            <w:left w:val="none" w:sz="0" w:space="0"/>
            <w:bottom w:val="none" w:sz="0" w:space="0"/>
            <w:right w:val="none" w:sz="0" w:space="0"/>
          </w:pgBorders>
          <w:pgNumType w:fmt="upperRoman"/>
          <w:cols w:space="425" w:num="1"/>
          <w:titlePg/>
          <w:docGrid w:type="lines" w:linePitch="312" w:charSpace="0"/>
        </w:sectPr>
      </w:pP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64D27922">
      <w:pPr>
        <w:pStyle w:val="37"/>
      </w:pPr>
    </w:p>
    <w:p w14:paraId="61567CA8">
      <w:pPr>
        <w:pStyle w:val="25"/>
        <w:ind w:firstLine="420"/>
        <w:rPr>
          <w:rFonts w:hint="eastAsia"/>
        </w:rPr>
        <w:sectPr>
          <w:headerReference r:id="rId7" w:type="first"/>
          <w:footerReference r:id="rId9" w:type="first"/>
          <w:headerReference r:id="rId6" w:type="default"/>
          <w:footerReference r:id="rId8" w:type="default"/>
          <w:pgSz w:w="11906" w:h="16838"/>
          <w:pgMar w:top="1418" w:right="1134" w:bottom="1134" w:left="1418" w:header="1418" w:footer="1134" w:gutter="0"/>
          <w:pgBorders>
            <w:top w:val="none" w:sz="0" w:space="0"/>
            <w:left w:val="none" w:sz="0" w:space="0"/>
            <w:bottom w:val="none" w:sz="0" w:space="0"/>
            <w:right w:val="none" w:sz="0" w:space="0"/>
          </w:pgBorders>
          <w:pgNumType w:fmt="upperRoman" w:start="1"/>
          <w:cols w:space="425" w:num="1"/>
          <w:titlePg/>
          <w:docGrid w:type="lines" w:linePitch="312" w:charSpace="0"/>
        </w:sectPr>
      </w:pPr>
    </w:p>
    <w:p w14:paraId="71A1ABDD">
      <w:pPr>
        <w:pStyle w:val="41"/>
        <w:rPr>
          <w:rFonts w:hint="eastAsia"/>
        </w:rPr>
      </w:pPr>
      <w:bookmarkStart w:id="1" w:name="_Toc198646020"/>
      <w:bookmarkStart w:id="2" w:name="_Toc198645075"/>
      <w:bookmarkStart w:id="3" w:name="_Toc198644988"/>
      <w:r>
        <w:rPr>
          <w:rFonts w:hint="eastAsia"/>
        </w:rPr>
        <w:t>目　　次</w:t>
      </w:r>
      <w:bookmarkEnd w:id="1"/>
      <w:bookmarkEnd w:id="2"/>
      <w:bookmarkEnd w:id="3"/>
    </w:p>
    <w:p w14:paraId="60FBDCCF">
      <w:pPr>
        <w:pStyle w:val="13"/>
        <w:tabs>
          <w:tab w:val="right" w:leader="dot" w:pos="9354"/>
          <w:tab w:val="clear" w:pos="9344"/>
        </w:tabs>
      </w:pPr>
      <w:r>
        <w:rPr>
          <w:rFonts w:hint="eastAsia" w:cs="宋体"/>
          <w:szCs w:val="21"/>
        </w:rPr>
        <w:fldChar w:fldCharType="begin"/>
      </w:r>
      <w:r>
        <w:rPr>
          <w:rFonts w:hint="eastAsia" w:cs="宋体"/>
          <w:szCs w:val="21"/>
        </w:rPr>
        <w:instrText xml:space="preserve"> TOC \o "1-3" \h \z \u </w:instrText>
      </w:r>
      <w:r>
        <w:rPr>
          <w:rFonts w:hint="eastAsia" w:cs="宋体"/>
          <w:szCs w:val="21"/>
        </w:rPr>
        <w:fldChar w:fldCharType="separate"/>
      </w:r>
      <w:r>
        <w:rPr>
          <w:rFonts w:hint="eastAsia" w:cs="宋体"/>
          <w:szCs w:val="21"/>
        </w:rPr>
        <w:fldChar w:fldCharType="begin"/>
      </w:r>
      <w:r>
        <w:rPr>
          <w:rFonts w:hint="eastAsia" w:cs="宋体"/>
          <w:szCs w:val="21"/>
        </w:rPr>
        <w:instrText xml:space="preserve"> HYPERLINK \l _Toc25971 </w:instrText>
      </w:r>
      <w:r>
        <w:rPr>
          <w:rFonts w:hint="eastAsia" w:cs="宋体"/>
          <w:szCs w:val="21"/>
        </w:rPr>
        <w:fldChar w:fldCharType="separate"/>
      </w:r>
      <w:r>
        <w:rPr>
          <w:rFonts w:hint="eastAsia"/>
        </w:rPr>
        <w:t>前</w:t>
      </w:r>
      <w:r>
        <w:rPr>
          <w:rFonts w:hAnsi="黑体"/>
        </w:rPr>
        <w:t>  </w:t>
      </w:r>
      <w:r>
        <w:rPr>
          <w:rFonts w:hint="eastAsia"/>
        </w:rPr>
        <w:t>言</w:t>
      </w:r>
      <w:r>
        <w:tab/>
      </w:r>
      <w:r>
        <w:fldChar w:fldCharType="begin"/>
      </w:r>
      <w:r>
        <w:instrText xml:space="preserve"> PAGEREF _Toc25971 \h </w:instrText>
      </w:r>
      <w:r>
        <w:fldChar w:fldCharType="separate"/>
      </w:r>
      <w:r>
        <w:t>II</w:t>
      </w:r>
      <w:r>
        <w:fldChar w:fldCharType="end"/>
      </w:r>
      <w:r>
        <w:rPr>
          <w:rFonts w:hint="eastAsia" w:cs="宋体"/>
          <w:szCs w:val="21"/>
        </w:rPr>
        <w:fldChar w:fldCharType="end"/>
      </w:r>
    </w:p>
    <w:p w14:paraId="04CF0F72">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_Toc26077 </w:instrText>
      </w:r>
      <w:r>
        <w:rPr>
          <w:rFonts w:hint="eastAsia" w:ascii="宋体" w:hAnsi="宋体" w:eastAsia="宋体" w:cs="宋体"/>
          <w:szCs w:val="21"/>
        </w:rPr>
        <w:fldChar w:fldCharType="separate"/>
      </w:r>
      <w:r>
        <w:rPr>
          <w:rFonts w:hint="eastAsia"/>
        </w:rPr>
        <w:t>1　范围</w:t>
      </w:r>
      <w:r>
        <w:tab/>
      </w:r>
      <w:r>
        <w:fldChar w:fldCharType="begin"/>
      </w:r>
      <w:r>
        <w:instrText xml:space="preserve"> PAGEREF _Toc26077 \h </w:instrText>
      </w:r>
      <w:r>
        <w:fldChar w:fldCharType="separate"/>
      </w:r>
      <w:r>
        <w:t>1</w:t>
      </w:r>
      <w:r>
        <w:fldChar w:fldCharType="end"/>
      </w:r>
      <w:r>
        <w:rPr>
          <w:rFonts w:hint="eastAsia" w:ascii="宋体" w:hAnsi="宋体" w:eastAsia="宋体" w:cs="宋体"/>
          <w:szCs w:val="21"/>
        </w:rPr>
        <w:fldChar w:fldCharType="end"/>
      </w:r>
    </w:p>
    <w:p w14:paraId="6935B6DC">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_Toc3322 </w:instrText>
      </w:r>
      <w:r>
        <w:rPr>
          <w:rFonts w:hint="eastAsia" w:ascii="宋体" w:hAnsi="宋体" w:eastAsia="宋体" w:cs="宋体"/>
          <w:szCs w:val="21"/>
        </w:rPr>
        <w:fldChar w:fldCharType="separate"/>
      </w:r>
      <w:r>
        <w:rPr>
          <w:rFonts w:hint="eastAsia"/>
        </w:rPr>
        <w:t>2　规范性引用文件</w:t>
      </w:r>
      <w:r>
        <w:tab/>
      </w:r>
      <w:r>
        <w:fldChar w:fldCharType="begin"/>
      </w:r>
      <w:r>
        <w:instrText xml:space="preserve"> PAGEREF _Toc3322 \h </w:instrText>
      </w:r>
      <w:r>
        <w:fldChar w:fldCharType="separate"/>
      </w:r>
      <w:r>
        <w:t>1</w:t>
      </w:r>
      <w:r>
        <w:fldChar w:fldCharType="end"/>
      </w:r>
      <w:r>
        <w:rPr>
          <w:rFonts w:hint="eastAsia" w:ascii="宋体" w:hAnsi="宋体" w:eastAsia="宋体" w:cs="宋体"/>
          <w:szCs w:val="21"/>
        </w:rPr>
        <w:fldChar w:fldCharType="end"/>
      </w:r>
    </w:p>
    <w:p w14:paraId="3D9F9E03">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_Toc16391 </w:instrText>
      </w:r>
      <w:r>
        <w:rPr>
          <w:rFonts w:hint="eastAsia" w:ascii="宋体" w:hAnsi="宋体" w:eastAsia="宋体" w:cs="宋体"/>
          <w:szCs w:val="21"/>
        </w:rPr>
        <w:fldChar w:fldCharType="separate"/>
      </w:r>
      <w:r>
        <w:rPr>
          <w:rFonts w:hint="eastAsia"/>
        </w:rPr>
        <w:t>3　术语和定义</w:t>
      </w:r>
      <w:r>
        <w:tab/>
      </w:r>
      <w:r>
        <w:fldChar w:fldCharType="begin"/>
      </w:r>
      <w:r>
        <w:instrText xml:space="preserve"> PAGEREF _Toc16391 \h </w:instrText>
      </w:r>
      <w:r>
        <w:fldChar w:fldCharType="separate"/>
      </w:r>
      <w:r>
        <w:t>1</w:t>
      </w:r>
      <w:r>
        <w:fldChar w:fldCharType="end"/>
      </w:r>
      <w:r>
        <w:rPr>
          <w:rFonts w:hint="eastAsia" w:ascii="宋体" w:hAnsi="宋体" w:eastAsia="宋体" w:cs="宋体"/>
          <w:szCs w:val="21"/>
        </w:rPr>
        <w:fldChar w:fldCharType="end"/>
      </w:r>
    </w:p>
    <w:p w14:paraId="69ABC215">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_Toc2405 </w:instrText>
      </w:r>
      <w:r>
        <w:rPr>
          <w:rFonts w:hint="eastAsia" w:ascii="宋体" w:hAnsi="宋体" w:eastAsia="宋体" w:cs="宋体"/>
          <w:szCs w:val="21"/>
        </w:rPr>
        <w:fldChar w:fldCharType="separate"/>
      </w:r>
      <w:r>
        <w:rPr>
          <w:rFonts w:hint="eastAsia"/>
        </w:rPr>
        <w:t>4　</w:t>
      </w:r>
      <w:r>
        <w:rPr>
          <w:rFonts w:hint="eastAsia"/>
          <w:szCs w:val="21"/>
        </w:rPr>
        <w:t>试验条件</w:t>
      </w:r>
      <w:r>
        <w:tab/>
      </w:r>
      <w:r>
        <w:fldChar w:fldCharType="begin"/>
      </w:r>
      <w:r>
        <w:instrText xml:space="preserve"> PAGEREF _Toc2405 \h </w:instrText>
      </w:r>
      <w:r>
        <w:fldChar w:fldCharType="separate"/>
      </w:r>
      <w:r>
        <w:t>2</w:t>
      </w:r>
      <w:r>
        <w:fldChar w:fldCharType="end"/>
      </w:r>
      <w:r>
        <w:rPr>
          <w:rFonts w:hint="eastAsia" w:ascii="宋体" w:hAnsi="宋体" w:eastAsia="宋体" w:cs="宋体"/>
          <w:szCs w:val="21"/>
        </w:rPr>
        <w:fldChar w:fldCharType="end"/>
      </w:r>
    </w:p>
    <w:p w14:paraId="4A189389">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_Toc12968 </w:instrText>
      </w:r>
      <w:r>
        <w:rPr>
          <w:rFonts w:hint="eastAsia" w:ascii="宋体" w:hAnsi="宋体" w:eastAsia="宋体" w:cs="宋体"/>
          <w:szCs w:val="21"/>
        </w:rPr>
        <w:fldChar w:fldCharType="separate"/>
      </w:r>
      <w:r>
        <w:rPr>
          <w:rFonts w:hint="eastAsia"/>
        </w:rPr>
        <w:t>4.1　环境要求</w:t>
      </w:r>
      <w:r>
        <w:tab/>
      </w:r>
      <w:r>
        <w:fldChar w:fldCharType="begin"/>
      </w:r>
      <w:r>
        <w:instrText xml:space="preserve"> PAGEREF _Toc12968 \h </w:instrText>
      </w:r>
      <w:r>
        <w:fldChar w:fldCharType="separate"/>
      </w:r>
      <w:r>
        <w:t>2</w:t>
      </w:r>
      <w:r>
        <w:fldChar w:fldCharType="end"/>
      </w:r>
      <w:r>
        <w:rPr>
          <w:rFonts w:hint="eastAsia" w:ascii="宋体" w:hAnsi="宋体" w:eastAsia="宋体" w:cs="宋体"/>
          <w:szCs w:val="21"/>
        </w:rPr>
        <w:fldChar w:fldCharType="end"/>
      </w:r>
    </w:p>
    <w:p w14:paraId="70CED2DD">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_Toc24568 </w:instrText>
      </w:r>
      <w:r>
        <w:rPr>
          <w:rFonts w:hint="eastAsia" w:ascii="宋体" w:hAnsi="宋体" w:eastAsia="宋体" w:cs="宋体"/>
          <w:szCs w:val="21"/>
        </w:rPr>
        <w:fldChar w:fldCharType="separate"/>
      </w:r>
      <w:r>
        <w:t>4.</w:t>
      </w:r>
      <w:r>
        <w:rPr>
          <w:rFonts w:hint="eastAsia"/>
        </w:rPr>
        <w:t>2　</w:t>
      </w:r>
      <w:r>
        <w:rPr>
          <w:rFonts w:hint="eastAsia" w:cs="黑体"/>
          <w:lang w:bidi="ar"/>
        </w:rPr>
        <w:t>测试机械准备</w:t>
      </w:r>
      <w:r>
        <w:tab/>
      </w:r>
      <w:r>
        <w:fldChar w:fldCharType="begin"/>
      </w:r>
      <w:r>
        <w:instrText xml:space="preserve"> PAGEREF _Toc24568 \h </w:instrText>
      </w:r>
      <w:r>
        <w:fldChar w:fldCharType="separate"/>
      </w:r>
      <w:r>
        <w:t>2</w:t>
      </w:r>
      <w:r>
        <w:fldChar w:fldCharType="end"/>
      </w:r>
      <w:r>
        <w:rPr>
          <w:rFonts w:hint="eastAsia" w:ascii="宋体" w:hAnsi="宋体" w:eastAsia="宋体" w:cs="宋体"/>
          <w:szCs w:val="21"/>
        </w:rPr>
        <w:fldChar w:fldCharType="end"/>
      </w:r>
    </w:p>
    <w:p w14:paraId="2D7FB942">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_Toc28969 </w:instrText>
      </w:r>
      <w:r>
        <w:rPr>
          <w:rFonts w:hint="eastAsia" w:ascii="宋体" w:hAnsi="宋体" w:eastAsia="宋体" w:cs="宋体"/>
          <w:szCs w:val="21"/>
        </w:rPr>
        <w:fldChar w:fldCharType="separate"/>
      </w:r>
      <w:r>
        <w:rPr>
          <w:rFonts w:hint="eastAsia"/>
        </w:rPr>
        <w:t>4.3　</w:t>
      </w:r>
      <w:r>
        <w:rPr>
          <w:rFonts w:hint="eastAsia" w:cs="黑体"/>
          <w:kern w:val="2"/>
        </w:rPr>
        <w:t>测试设备准备</w:t>
      </w:r>
      <w:r>
        <w:tab/>
      </w:r>
      <w:r>
        <w:fldChar w:fldCharType="begin"/>
      </w:r>
      <w:r>
        <w:instrText xml:space="preserve"> PAGEREF _Toc28969 \h </w:instrText>
      </w:r>
      <w:r>
        <w:fldChar w:fldCharType="separate"/>
      </w:r>
      <w:r>
        <w:t>2</w:t>
      </w:r>
      <w:r>
        <w:fldChar w:fldCharType="end"/>
      </w:r>
      <w:r>
        <w:rPr>
          <w:rFonts w:hint="eastAsia" w:ascii="宋体" w:hAnsi="宋体" w:eastAsia="宋体" w:cs="宋体"/>
          <w:szCs w:val="21"/>
        </w:rPr>
        <w:fldChar w:fldCharType="end"/>
      </w:r>
    </w:p>
    <w:p w14:paraId="76D9697E">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_Toc29925 </w:instrText>
      </w:r>
      <w:r>
        <w:rPr>
          <w:rFonts w:hint="eastAsia" w:ascii="宋体" w:hAnsi="宋体" w:eastAsia="宋体" w:cs="宋体"/>
          <w:szCs w:val="21"/>
        </w:rPr>
        <w:fldChar w:fldCharType="separate"/>
      </w:r>
      <w:r>
        <w:rPr>
          <w:rFonts w:hint="eastAsia"/>
        </w:rPr>
        <w:t>4.4　测试方法</w:t>
      </w:r>
      <w:r>
        <w:tab/>
      </w:r>
      <w:r>
        <w:fldChar w:fldCharType="begin"/>
      </w:r>
      <w:r>
        <w:instrText xml:space="preserve"> PAGEREF _Toc29925 \h </w:instrText>
      </w:r>
      <w:r>
        <w:fldChar w:fldCharType="separate"/>
      </w:r>
      <w:r>
        <w:t>2</w:t>
      </w:r>
      <w:r>
        <w:fldChar w:fldCharType="end"/>
      </w:r>
      <w:r>
        <w:rPr>
          <w:rFonts w:hint="eastAsia" w:ascii="宋体" w:hAnsi="宋体" w:eastAsia="宋体" w:cs="宋体"/>
          <w:szCs w:val="21"/>
        </w:rPr>
        <w:fldChar w:fldCharType="end"/>
      </w:r>
    </w:p>
    <w:p w14:paraId="5D108A42">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_Toc31675 </w:instrText>
      </w:r>
      <w:r>
        <w:rPr>
          <w:rFonts w:hint="eastAsia" w:ascii="宋体" w:hAnsi="宋体" w:eastAsia="宋体" w:cs="宋体"/>
          <w:szCs w:val="21"/>
        </w:rPr>
        <w:fldChar w:fldCharType="separate"/>
      </w:r>
      <w:r>
        <w:rPr>
          <w:rFonts w:hint="eastAsia"/>
        </w:rPr>
        <w:t>4.5　PEMS设备安装</w:t>
      </w:r>
      <w:r>
        <w:tab/>
      </w:r>
      <w:r>
        <w:fldChar w:fldCharType="begin"/>
      </w:r>
      <w:r>
        <w:instrText xml:space="preserve"> PAGEREF _Toc31675 \h </w:instrText>
      </w:r>
      <w:r>
        <w:fldChar w:fldCharType="separate"/>
      </w:r>
      <w:r>
        <w:t>3</w:t>
      </w:r>
      <w:r>
        <w:fldChar w:fldCharType="end"/>
      </w:r>
      <w:r>
        <w:rPr>
          <w:rFonts w:hint="eastAsia" w:ascii="宋体" w:hAnsi="宋体" w:eastAsia="宋体" w:cs="宋体"/>
          <w:szCs w:val="21"/>
        </w:rPr>
        <w:fldChar w:fldCharType="end"/>
      </w:r>
    </w:p>
    <w:p w14:paraId="72FC7600">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_Toc18768 </w:instrText>
      </w:r>
      <w:r>
        <w:rPr>
          <w:rFonts w:hint="eastAsia" w:ascii="宋体" w:hAnsi="宋体" w:eastAsia="宋体" w:cs="宋体"/>
          <w:szCs w:val="21"/>
        </w:rPr>
        <w:fldChar w:fldCharType="separate"/>
      </w:r>
      <w:r>
        <w:rPr>
          <w:rFonts w:hint="eastAsia"/>
        </w:rPr>
        <w:t>5　</w:t>
      </w:r>
      <w:r>
        <w:rPr>
          <w:rFonts w:hint="eastAsia" w:cs="黑体"/>
          <w:kern w:val="2"/>
          <w:szCs w:val="21"/>
        </w:rPr>
        <w:t>排气污染物车载法试验</w:t>
      </w:r>
      <w:r>
        <w:tab/>
      </w:r>
      <w:r>
        <w:fldChar w:fldCharType="begin"/>
      </w:r>
      <w:r>
        <w:instrText xml:space="preserve"> PAGEREF _Toc18768 \h </w:instrText>
      </w:r>
      <w:r>
        <w:fldChar w:fldCharType="separate"/>
      </w:r>
      <w:r>
        <w:t>3</w:t>
      </w:r>
      <w:r>
        <w:fldChar w:fldCharType="end"/>
      </w:r>
      <w:r>
        <w:rPr>
          <w:rFonts w:hint="eastAsia" w:ascii="宋体" w:hAnsi="宋体" w:eastAsia="宋体" w:cs="宋体"/>
          <w:szCs w:val="21"/>
        </w:rPr>
        <w:fldChar w:fldCharType="end"/>
      </w:r>
    </w:p>
    <w:p w14:paraId="11260D19">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_Toc12731 </w:instrText>
      </w:r>
      <w:r>
        <w:rPr>
          <w:rFonts w:hint="eastAsia" w:ascii="宋体" w:hAnsi="宋体" w:eastAsia="宋体" w:cs="宋体"/>
          <w:szCs w:val="21"/>
        </w:rPr>
        <w:fldChar w:fldCharType="separate"/>
      </w:r>
      <w:r>
        <w:rPr>
          <w:rFonts w:hint="eastAsia"/>
        </w:rPr>
        <w:t>5.1　</w:t>
      </w:r>
      <w:r>
        <w:rPr>
          <w:rFonts w:hint="eastAsia" w:cs="黑体"/>
          <w:kern w:val="2"/>
        </w:rPr>
        <w:t>测试准备</w:t>
      </w:r>
      <w:r>
        <w:tab/>
      </w:r>
      <w:r>
        <w:fldChar w:fldCharType="begin"/>
      </w:r>
      <w:r>
        <w:instrText xml:space="preserve"> PAGEREF _Toc12731 \h </w:instrText>
      </w:r>
      <w:r>
        <w:fldChar w:fldCharType="separate"/>
      </w:r>
      <w:r>
        <w:t>3</w:t>
      </w:r>
      <w:r>
        <w:fldChar w:fldCharType="end"/>
      </w:r>
      <w:r>
        <w:rPr>
          <w:rFonts w:hint="eastAsia" w:ascii="宋体" w:hAnsi="宋体" w:eastAsia="宋体" w:cs="宋体"/>
          <w:szCs w:val="21"/>
        </w:rPr>
        <w:fldChar w:fldCharType="end"/>
      </w:r>
    </w:p>
    <w:p w14:paraId="12B0032C">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_Toc24233 </w:instrText>
      </w:r>
      <w:r>
        <w:rPr>
          <w:rFonts w:hint="eastAsia" w:ascii="宋体" w:hAnsi="宋体" w:eastAsia="宋体" w:cs="宋体"/>
          <w:szCs w:val="21"/>
        </w:rPr>
        <w:fldChar w:fldCharType="separate"/>
      </w:r>
      <w:r>
        <w:rPr>
          <w:rFonts w:hint="eastAsia"/>
        </w:rPr>
        <w:t>5.2　测试开始</w:t>
      </w:r>
      <w:r>
        <w:tab/>
      </w:r>
      <w:r>
        <w:fldChar w:fldCharType="begin"/>
      </w:r>
      <w:r>
        <w:instrText xml:space="preserve"> PAGEREF _Toc24233 \h </w:instrText>
      </w:r>
      <w:r>
        <w:fldChar w:fldCharType="separate"/>
      </w:r>
      <w:r>
        <w:t>3</w:t>
      </w:r>
      <w:r>
        <w:fldChar w:fldCharType="end"/>
      </w:r>
      <w:r>
        <w:rPr>
          <w:rFonts w:hint="eastAsia" w:ascii="宋体" w:hAnsi="宋体" w:eastAsia="宋体" w:cs="宋体"/>
          <w:szCs w:val="21"/>
        </w:rPr>
        <w:fldChar w:fldCharType="end"/>
      </w:r>
    </w:p>
    <w:p w14:paraId="6B5259C5">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_Toc22592 </w:instrText>
      </w:r>
      <w:r>
        <w:rPr>
          <w:rFonts w:hint="eastAsia" w:ascii="宋体" w:hAnsi="宋体" w:eastAsia="宋体" w:cs="宋体"/>
          <w:szCs w:val="21"/>
        </w:rPr>
        <w:fldChar w:fldCharType="separate"/>
      </w:r>
      <w:r>
        <w:rPr>
          <w:rFonts w:hint="eastAsia"/>
        </w:rPr>
        <w:t>5.3　测试运行</w:t>
      </w:r>
      <w:r>
        <w:tab/>
      </w:r>
      <w:r>
        <w:fldChar w:fldCharType="begin"/>
      </w:r>
      <w:r>
        <w:instrText xml:space="preserve"> PAGEREF _Toc22592 \h </w:instrText>
      </w:r>
      <w:r>
        <w:fldChar w:fldCharType="separate"/>
      </w:r>
      <w:r>
        <w:t>3</w:t>
      </w:r>
      <w:r>
        <w:fldChar w:fldCharType="end"/>
      </w:r>
      <w:r>
        <w:rPr>
          <w:rFonts w:hint="eastAsia" w:ascii="宋体" w:hAnsi="宋体" w:eastAsia="宋体" w:cs="宋体"/>
          <w:szCs w:val="21"/>
        </w:rPr>
        <w:fldChar w:fldCharType="end"/>
      </w:r>
    </w:p>
    <w:p w14:paraId="25EBE530">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_Toc4490 </w:instrText>
      </w:r>
      <w:r>
        <w:rPr>
          <w:rFonts w:hint="eastAsia" w:ascii="宋体" w:hAnsi="宋体" w:eastAsia="宋体" w:cs="宋体"/>
          <w:szCs w:val="21"/>
        </w:rPr>
        <w:fldChar w:fldCharType="separate"/>
      </w:r>
      <w:r>
        <w:rPr>
          <w:rFonts w:hint="eastAsia"/>
        </w:rPr>
        <w:t>5.4　测试结束</w:t>
      </w:r>
      <w:r>
        <w:tab/>
      </w:r>
      <w:r>
        <w:fldChar w:fldCharType="begin"/>
      </w:r>
      <w:r>
        <w:instrText xml:space="preserve"> PAGEREF _Toc4490 \h </w:instrText>
      </w:r>
      <w:r>
        <w:fldChar w:fldCharType="separate"/>
      </w:r>
      <w:r>
        <w:t>3</w:t>
      </w:r>
      <w:r>
        <w:fldChar w:fldCharType="end"/>
      </w:r>
      <w:r>
        <w:rPr>
          <w:rFonts w:hint="eastAsia" w:ascii="宋体" w:hAnsi="宋体" w:eastAsia="宋体" w:cs="宋体"/>
          <w:szCs w:val="21"/>
        </w:rPr>
        <w:fldChar w:fldCharType="end"/>
      </w:r>
    </w:p>
    <w:p w14:paraId="5E8B029B">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_Toc15852 </w:instrText>
      </w:r>
      <w:r>
        <w:rPr>
          <w:rFonts w:hint="eastAsia" w:ascii="宋体" w:hAnsi="宋体" w:eastAsia="宋体" w:cs="宋体"/>
          <w:szCs w:val="21"/>
        </w:rPr>
        <w:fldChar w:fldCharType="separate"/>
      </w:r>
      <w:r>
        <w:rPr>
          <w:rFonts w:hint="eastAsia"/>
        </w:rPr>
        <w:t>5.5　数据处理</w:t>
      </w:r>
      <w:r>
        <w:tab/>
      </w:r>
      <w:r>
        <w:fldChar w:fldCharType="begin"/>
      </w:r>
      <w:r>
        <w:instrText xml:space="preserve"> PAGEREF _Toc15852 \h </w:instrText>
      </w:r>
      <w:r>
        <w:fldChar w:fldCharType="separate"/>
      </w:r>
      <w:r>
        <w:t>3</w:t>
      </w:r>
      <w:r>
        <w:fldChar w:fldCharType="end"/>
      </w:r>
      <w:r>
        <w:rPr>
          <w:rFonts w:hint="eastAsia" w:ascii="宋体" w:hAnsi="宋体" w:eastAsia="宋体" w:cs="宋体"/>
          <w:szCs w:val="21"/>
        </w:rPr>
        <w:fldChar w:fldCharType="end"/>
      </w:r>
    </w:p>
    <w:p w14:paraId="47278092">
      <w:pPr>
        <w:pStyle w:val="10"/>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_Toc4278 </w:instrText>
      </w:r>
      <w:r>
        <w:rPr>
          <w:rFonts w:hint="eastAsia" w:ascii="宋体" w:hAnsi="宋体" w:eastAsia="宋体" w:cs="宋体"/>
          <w:szCs w:val="21"/>
        </w:rPr>
        <w:fldChar w:fldCharType="separate"/>
      </w:r>
      <w:r>
        <w:rPr>
          <w:rFonts w:hint="eastAsia"/>
        </w:rPr>
        <w:t>5.5.1　有效数据判定</w:t>
      </w:r>
      <w:r>
        <w:tab/>
      </w:r>
      <w:r>
        <w:fldChar w:fldCharType="begin"/>
      </w:r>
      <w:r>
        <w:instrText xml:space="preserve"> PAGEREF _Toc4278 \h </w:instrText>
      </w:r>
      <w:r>
        <w:fldChar w:fldCharType="separate"/>
      </w:r>
      <w:r>
        <w:t>3</w:t>
      </w:r>
      <w:r>
        <w:fldChar w:fldCharType="end"/>
      </w:r>
      <w:r>
        <w:rPr>
          <w:rFonts w:hint="eastAsia" w:ascii="宋体" w:hAnsi="宋体" w:eastAsia="宋体" w:cs="宋体"/>
          <w:szCs w:val="21"/>
        </w:rPr>
        <w:fldChar w:fldCharType="end"/>
      </w:r>
    </w:p>
    <w:p w14:paraId="2878A4BC">
      <w:pPr>
        <w:pStyle w:val="10"/>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_Toc11898 </w:instrText>
      </w:r>
      <w:r>
        <w:rPr>
          <w:rFonts w:hint="eastAsia" w:ascii="宋体" w:hAnsi="宋体" w:eastAsia="宋体" w:cs="宋体"/>
          <w:szCs w:val="21"/>
        </w:rPr>
        <w:fldChar w:fldCharType="separate"/>
      </w:r>
      <w:r>
        <w:rPr>
          <w:rFonts w:hint="eastAsia"/>
        </w:rPr>
        <w:t>5.5.2　排放试验结果计算</w:t>
      </w:r>
      <w:r>
        <w:tab/>
      </w:r>
      <w:r>
        <w:fldChar w:fldCharType="begin"/>
      </w:r>
      <w:r>
        <w:instrText xml:space="preserve"> PAGEREF _Toc11898 \h </w:instrText>
      </w:r>
      <w:r>
        <w:fldChar w:fldCharType="separate"/>
      </w:r>
      <w:r>
        <w:t>3</w:t>
      </w:r>
      <w:r>
        <w:fldChar w:fldCharType="end"/>
      </w:r>
      <w:r>
        <w:rPr>
          <w:rFonts w:hint="eastAsia" w:ascii="宋体" w:hAnsi="宋体" w:eastAsia="宋体" w:cs="宋体"/>
          <w:szCs w:val="21"/>
        </w:rPr>
        <w:fldChar w:fldCharType="end"/>
      </w:r>
    </w:p>
    <w:p w14:paraId="43E64FA3">
      <w:pPr>
        <w:pStyle w:val="10"/>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_Toc30964 </w:instrText>
      </w:r>
      <w:r>
        <w:rPr>
          <w:rFonts w:hint="eastAsia" w:ascii="宋体" w:hAnsi="宋体" w:eastAsia="宋体" w:cs="宋体"/>
          <w:szCs w:val="21"/>
        </w:rPr>
        <w:fldChar w:fldCharType="separate"/>
      </w:r>
      <w:r>
        <w:rPr>
          <w:rFonts w:hint="eastAsia"/>
        </w:rPr>
        <w:t>5.5.3　柴油机相应高原测试海拔NRTC循环功的计算</w:t>
      </w:r>
      <w:r>
        <w:tab/>
      </w:r>
      <w:r>
        <w:fldChar w:fldCharType="begin"/>
      </w:r>
      <w:r>
        <w:instrText xml:space="preserve"> PAGEREF _Toc30964 \h </w:instrText>
      </w:r>
      <w:r>
        <w:fldChar w:fldCharType="separate"/>
      </w:r>
      <w:r>
        <w:t>3</w:t>
      </w:r>
      <w:r>
        <w:fldChar w:fldCharType="end"/>
      </w:r>
      <w:r>
        <w:rPr>
          <w:rFonts w:hint="eastAsia" w:ascii="宋体" w:hAnsi="宋体" w:eastAsia="宋体" w:cs="宋体"/>
          <w:szCs w:val="21"/>
        </w:rPr>
        <w:fldChar w:fldCharType="end"/>
      </w:r>
    </w:p>
    <w:p w14:paraId="55BAD5BB">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_Toc15272 </w:instrText>
      </w:r>
      <w:r>
        <w:rPr>
          <w:rFonts w:hint="eastAsia" w:ascii="宋体" w:hAnsi="宋体" w:eastAsia="宋体" w:cs="宋体"/>
          <w:szCs w:val="21"/>
        </w:rPr>
        <w:fldChar w:fldCharType="separate"/>
      </w:r>
      <w:r>
        <w:rPr>
          <w:rFonts w:hint="eastAsia"/>
        </w:rPr>
        <w:t>5.6　数据一致性检查</w:t>
      </w:r>
      <w:r>
        <w:tab/>
      </w:r>
      <w:r>
        <w:fldChar w:fldCharType="begin"/>
      </w:r>
      <w:r>
        <w:instrText xml:space="preserve"> PAGEREF _Toc15272 \h </w:instrText>
      </w:r>
      <w:r>
        <w:fldChar w:fldCharType="separate"/>
      </w:r>
      <w:r>
        <w:t>4</w:t>
      </w:r>
      <w:r>
        <w:fldChar w:fldCharType="end"/>
      </w:r>
      <w:r>
        <w:rPr>
          <w:rFonts w:hint="eastAsia" w:ascii="宋体" w:hAnsi="宋体" w:eastAsia="宋体" w:cs="宋体"/>
          <w:szCs w:val="21"/>
        </w:rPr>
        <w:fldChar w:fldCharType="end"/>
      </w:r>
    </w:p>
    <w:p w14:paraId="04EC4FCC">
      <w:pPr>
        <w:pStyle w:val="10"/>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_Toc9428 </w:instrText>
      </w:r>
      <w:r>
        <w:rPr>
          <w:rFonts w:hint="eastAsia" w:ascii="宋体" w:hAnsi="宋体" w:eastAsia="宋体" w:cs="宋体"/>
          <w:szCs w:val="21"/>
        </w:rPr>
        <w:fldChar w:fldCharType="separate"/>
      </w:r>
      <w:r>
        <w:rPr>
          <w:rFonts w:hint="eastAsia"/>
        </w:rPr>
        <w:t>5.6.1　</w:t>
      </w:r>
      <w:r>
        <w:rPr>
          <w:rFonts w:hint="eastAsia" w:cs="黑体"/>
        </w:rPr>
        <w:t>油耗一致性</w:t>
      </w:r>
      <w:r>
        <w:tab/>
      </w:r>
      <w:r>
        <w:fldChar w:fldCharType="begin"/>
      </w:r>
      <w:r>
        <w:instrText xml:space="preserve"> PAGEREF _Toc9428 \h </w:instrText>
      </w:r>
      <w:r>
        <w:fldChar w:fldCharType="separate"/>
      </w:r>
      <w:r>
        <w:t>4</w:t>
      </w:r>
      <w:r>
        <w:fldChar w:fldCharType="end"/>
      </w:r>
      <w:r>
        <w:rPr>
          <w:rFonts w:hint="eastAsia" w:ascii="宋体" w:hAnsi="宋体" w:eastAsia="宋体" w:cs="宋体"/>
          <w:szCs w:val="21"/>
        </w:rPr>
        <w:fldChar w:fldCharType="end"/>
      </w:r>
    </w:p>
    <w:p w14:paraId="66A96A10">
      <w:pPr>
        <w:pStyle w:val="10"/>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_Toc20067 </w:instrText>
      </w:r>
      <w:r>
        <w:rPr>
          <w:rFonts w:hint="eastAsia" w:ascii="宋体" w:hAnsi="宋体" w:eastAsia="宋体" w:cs="宋体"/>
          <w:szCs w:val="21"/>
        </w:rPr>
        <w:fldChar w:fldCharType="separate"/>
      </w:r>
      <w:r>
        <w:rPr>
          <w:rFonts w:hint="eastAsia"/>
        </w:rPr>
        <w:t>5.6.2　</w:t>
      </w:r>
      <w:r>
        <w:rPr>
          <w:rFonts w:hint="eastAsia" w:cs="黑体"/>
        </w:rPr>
        <w:t>扭矩一致性</w:t>
      </w:r>
      <w:r>
        <w:tab/>
      </w:r>
      <w:r>
        <w:fldChar w:fldCharType="begin"/>
      </w:r>
      <w:r>
        <w:instrText xml:space="preserve"> PAGEREF _Toc20067 \h </w:instrText>
      </w:r>
      <w:r>
        <w:fldChar w:fldCharType="separate"/>
      </w:r>
      <w:r>
        <w:t>4</w:t>
      </w:r>
      <w:r>
        <w:fldChar w:fldCharType="end"/>
      </w:r>
      <w:r>
        <w:rPr>
          <w:rFonts w:hint="eastAsia" w:ascii="宋体" w:hAnsi="宋体" w:eastAsia="宋体" w:cs="宋体"/>
          <w:szCs w:val="21"/>
        </w:rPr>
        <w:fldChar w:fldCharType="end"/>
      </w:r>
    </w:p>
    <w:p w14:paraId="56FAC65D">
      <w:pPr>
        <w:pStyle w:val="14"/>
        <w:tabs>
          <w:tab w:val="right" w:leader="dot" w:pos="935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_Toc30636 </w:instrText>
      </w:r>
      <w:r>
        <w:rPr>
          <w:rFonts w:hint="eastAsia" w:ascii="宋体" w:hAnsi="宋体" w:eastAsia="宋体" w:cs="宋体"/>
          <w:szCs w:val="21"/>
        </w:rPr>
        <w:fldChar w:fldCharType="separate"/>
      </w:r>
      <w:r>
        <w:rPr>
          <w:rFonts w:hint="eastAsia"/>
        </w:rPr>
        <w:t>5.7　高原推荐限值扩展系数</w:t>
      </w:r>
      <w:r>
        <w:tab/>
      </w:r>
      <w:r>
        <w:fldChar w:fldCharType="begin"/>
      </w:r>
      <w:r>
        <w:instrText xml:space="preserve"> PAGEREF _Toc30636 \h </w:instrText>
      </w:r>
      <w:r>
        <w:fldChar w:fldCharType="separate"/>
      </w:r>
      <w:r>
        <w:t>5</w:t>
      </w:r>
      <w:r>
        <w:fldChar w:fldCharType="end"/>
      </w:r>
      <w:r>
        <w:rPr>
          <w:rFonts w:hint="eastAsia" w:ascii="宋体" w:hAnsi="宋体" w:eastAsia="宋体" w:cs="宋体"/>
          <w:szCs w:val="21"/>
        </w:rPr>
        <w:fldChar w:fldCharType="end"/>
      </w:r>
    </w:p>
    <w:p w14:paraId="716517BD">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_Toc19042 </w:instrText>
      </w:r>
      <w:r>
        <w:rPr>
          <w:rFonts w:hint="eastAsia" w:ascii="宋体" w:hAnsi="宋体" w:eastAsia="宋体" w:cs="宋体"/>
          <w:szCs w:val="21"/>
        </w:rPr>
        <w:fldChar w:fldCharType="separate"/>
      </w:r>
      <w:r>
        <w:rPr>
          <w:rFonts w:hint="eastAsia"/>
        </w:rPr>
        <w:t>6　</w:t>
      </w:r>
      <w:r>
        <w:rPr>
          <w:rFonts w:hint="eastAsia" w:ascii="Times New Roman"/>
          <w:szCs w:val="21"/>
        </w:rPr>
        <w:t>试验报告</w:t>
      </w:r>
      <w:r>
        <w:tab/>
      </w:r>
      <w:r>
        <w:fldChar w:fldCharType="begin"/>
      </w:r>
      <w:r>
        <w:instrText xml:space="preserve"> PAGEREF _Toc19042 \h </w:instrText>
      </w:r>
      <w:r>
        <w:fldChar w:fldCharType="separate"/>
      </w:r>
      <w:r>
        <w:t>5</w:t>
      </w:r>
      <w:r>
        <w:fldChar w:fldCharType="end"/>
      </w:r>
      <w:r>
        <w:rPr>
          <w:rFonts w:hint="eastAsia" w:ascii="宋体" w:hAnsi="宋体" w:eastAsia="宋体" w:cs="宋体"/>
          <w:szCs w:val="21"/>
        </w:rPr>
        <w:fldChar w:fldCharType="end"/>
      </w:r>
    </w:p>
    <w:p w14:paraId="76399FC3">
      <w:pPr>
        <w:pStyle w:val="13"/>
        <w:tabs>
          <w:tab w:val="right" w:leader="dot" w:pos="9354"/>
          <w:tab w:val="clear" w:pos="9344"/>
        </w:tabs>
        <w:rPr>
          <w:rFonts w:hint="eastAsia" w:ascii="宋体" w:hAnsi="宋体" w:eastAsia="宋体" w:cs="宋体"/>
        </w:rPr>
      </w:pPr>
      <w:bookmarkStart w:id="59" w:name="_GoBack"/>
      <w:r>
        <w:rPr>
          <w:rFonts w:hint="eastAsia" w:ascii="宋体" w:hAnsi="宋体" w:eastAsia="宋体" w:cs="宋体"/>
          <w:szCs w:val="21"/>
        </w:rPr>
        <w:fldChar w:fldCharType="begin"/>
      </w:r>
      <w:r>
        <w:rPr>
          <w:rFonts w:hint="eastAsia" w:ascii="宋体" w:hAnsi="宋体" w:eastAsia="宋体" w:cs="宋体"/>
          <w:szCs w:val="21"/>
        </w:rPr>
        <w:instrText xml:space="preserve"> HYPERLINK \l _Toc25920 </w:instrText>
      </w:r>
      <w:r>
        <w:rPr>
          <w:rFonts w:hint="eastAsia" w:ascii="宋体" w:hAnsi="宋体" w:eastAsia="宋体" w:cs="宋体"/>
          <w:szCs w:val="21"/>
        </w:rPr>
        <w:fldChar w:fldCharType="separate"/>
      </w:r>
      <w:r>
        <w:rPr>
          <w:rFonts w:hint="eastAsia" w:ascii="宋体" w:hAnsi="宋体" w:eastAsia="宋体" w:cs="宋体"/>
        </w:rPr>
        <w:t>附录A</w:t>
      </w:r>
      <w:r>
        <w:rPr>
          <w:rFonts w:hint="eastAsia" w:ascii="宋体" w:hAnsi="宋体" w:eastAsia="宋体" w:cs="宋体"/>
          <w:szCs w:val="21"/>
        </w:rPr>
        <w:t>（规范性） 注意事项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_Toc25920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14:paraId="1F6BBE59">
      <w:pPr>
        <w:pStyle w:val="13"/>
        <w:tabs>
          <w:tab w:val="right" w:leader="dot" w:pos="9354"/>
          <w:tab w:val="clear" w:pos="9344"/>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_Toc9634 </w:instrText>
      </w:r>
      <w:r>
        <w:rPr>
          <w:rFonts w:hint="eastAsia" w:ascii="宋体" w:hAnsi="宋体" w:eastAsia="宋体" w:cs="宋体"/>
          <w:szCs w:val="21"/>
        </w:rPr>
        <w:fldChar w:fldCharType="separate"/>
      </w:r>
      <w:r>
        <w:rPr>
          <w:rFonts w:hint="eastAsia" w:ascii="宋体" w:hAnsi="宋体" w:eastAsia="宋体" w:cs="宋体"/>
        </w:rPr>
        <w:t>附录B</w:t>
      </w:r>
      <w:r>
        <w:rPr>
          <w:rFonts w:hint="eastAsia" w:ascii="宋体" w:hAnsi="宋体" w:eastAsia="宋体" w:cs="宋体"/>
          <w:szCs w:val="21"/>
        </w:rPr>
        <w:t>（资料性） 非道路柴油移动机械高原排气污染物车载法试验结果记录表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_Toc9634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bookmarkEnd w:id="59"/>
    </w:p>
    <w:p w14:paraId="333E2F22">
      <w:pPr>
        <w:pStyle w:val="10"/>
        <w:tabs>
          <w:tab w:val="right" w:leader="dot" w:pos="9354"/>
        </w:tabs>
        <w:ind w:left="0" w:leftChars="0" w:firstLine="0" w:firstLineChars="0"/>
      </w:pPr>
    </w:p>
    <w:p w14:paraId="3E2B8433">
      <w:pPr>
        <w:pStyle w:val="37"/>
        <w:spacing w:before="567" w:after="680"/>
      </w:pPr>
      <w:r>
        <w:rPr>
          <w:rFonts w:hint="eastAsia" w:ascii="宋体" w:hAnsi="宋体" w:eastAsia="宋体" w:cs="宋体"/>
          <w:szCs w:val="21"/>
        </w:rPr>
        <w:fldChar w:fldCharType="end"/>
      </w:r>
      <w:bookmarkStart w:id="4" w:name="_Toc25971"/>
      <w:r>
        <w:rPr>
          <w:rFonts w:hint="eastAsia"/>
        </w:rPr>
        <w:t>前</w:t>
      </w:r>
      <w:r>
        <w:rPr>
          <w:rFonts w:hAnsi="黑体"/>
        </w:rPr>
        <w:t>  </w:t>
      </w:r>
      <w:r>
        <w:rPr>
          <w:rFonts w:hint="eastAsia"/>
        </w:rPr>
        <w:t>言</w:t>
      </w:r>
      <w:bookmarkEnd w:id="4"/>
    </w:p>
    <w:p w14:paraId="267B79B6">
      <w:pPr>
        <w:pStyle w:val="25"/>
        <w:ind w:firstLine="420"/>
        <w:rPr>
          <w:rFonts w:hint="eastAsia"/>
        </w:rPr>
      </w:pPr>
      <w:r>
        <w:t>本文件按照GB/T 1.1—2020《标准化工作导则 第1部分：标准化文件的结构和起草规则》起草。</w:t>
      </w:r>
    </w:p>
    <w:p w14:paraId="69F90525">
      <w:pPr>
        <w:pStyle w:val="25"/>
        <w:ind w:firstLine="420"/>
        <w:rPr>
          <w:rFonts w:hint="eastAsia"/>
        </w:rPr>
      </w:pPr>
      <w:r>
        <w:rPr>
          <w:rFonts w:hint="eastAsia"/>
        </w:rPr>
        <w:t>请注意本文件的某些内容可能涉及专利，本文件的发布机构不承担识别专利的责任。</w:t>
      </w:r>
    </w:p>
    <w:p w14:paraId="114747F7">
      <w:pPr>
        <w:pStyle w:val="25"/>
        <w:ind w:firstLine="420"/>
        <w:rPr>
          <w:rFonts w:hint="eastAsia"/>
        </w:rPr>
      </w:pPr>
      <w:r>
        <w:rPr>
          <w:rFonts w:hint="eastAsia"/>
        </w:rPr>
        <w:t>本文件由中国内燃机学会标准管理部提出。</w:t>
      </w:r>
    </w:p>
    <w:p w14:paraId="76A09B4E">
      <w:pPr>
        <w:pStyle w:val="25"/>
        <w:ind w:firstLine="420"/>
        <w:rPr>
          <w:rFonts w:hint="eastAsia"/>
        </w:rPr>
      </w:pPr>
      <w:r>
        <w:rPr>
          <w:rFonts w:hint="eastAsia"/>
        </w:rPr>
        <w:t>本文件由中国内燃机学会归口。</w:t>
      </w:r>
    </w:p>
    <w:p w14:paraId="0A72F19B">
      <w:pPr>
        <w:pStyle w:val="25"/>
        <w:ind w:firstLine="420"/>
        <w:rPr>
          <w:rFonts w:hint="eastAsia" w:cs="宋体"/>
          <w:szCs w:val="21"/>
        </w:rPr>
      </w:pPr>
      <w:r>
        <w:rPr>
          <w:rFonts w:hint="eastAsia"/>
        </w:rPr>
        <w:t>本文件起草单位：</w:t>
      </w:r>
      <w:bookmarkStart w:id="5" w:name="OLE_LINK5"/>
      <w:r>
        <w:rPr>
          <w:rFonts w:hint="eastAsia" w:cs="宋体"/>
          <w:szCs w:val="21"/>
        </w:rPr>
        <w:t>中汽研汽车检验中心（昆明）有限公司、</w:t>
      </w:r>
      <w:r>
        <w:rPr>
          <w:rFonts w:hint="eastAsia"/>
        </w:rPr>
        <w:t>XX、XX、XX、XX</w:t>
      </w:r>
      <w:r>
        <w:rPr>
          <w:rFonts w:hint="eastAsia" w:cs="宋体"/>
          <w:szCs w:val="21"/>
        </w:rPr>
        <w:t>。</w:t>
      </w:r>
    </w:p>
    <w:bookmarkEnd w:id="5"/>
    <w:p w14:paraId="76AB7AEE">
      <w:pPr>
        <w:pStyle w:val="25"/>
        <w:ind w:firstLine="420"/>
        <w:rPr>
          <w:rFonts w:hint="eastAsia"/>
        </w:rPr>
      </w:pPr>
      <w:r>
        <w:rPr>
          <w:rFonts w:hint="eastAsia"/>
        </w:rPr>
        <w:t>本文件主要起草人：XX、XX、XX、XX。</w:t>
      </w:r>
    </w:p>
    <w:p w14:paraId="2B98026F">
      <w:pPr>
        <w:pStyle w:val="25"/>
        <w:ind w:firstLine="420"/>
        <w:rPr>
          <w:rFonts w:hint="eastAsia"/>
        </w:rPr>
      </w:pPr>
      <w:r>
        <w:rPr>
          <w:rFonts w:hint="eastAsia"/>
        </w:rPr>
        <w:t>本文件于XXXX年首次发布。</w:t>
      </w:r>
    </w:p>
    <w:p w14:paraId="3DC7FB3C">
      <w:pPr>
        <w:rPr>
          <w:rFonts w:hint="eastAsia"/>
        </w:rPr>
        <w:sectPr>
          <w:headerReference r:id="rId10" w:type="first"/>
          <w:footerReference r:id="rId13" w:type="first"/>
          <w:footerReference r:id="rId11" w:type="default"/>
          <w:footerReference r:id="rId12" w:type="even"/>
          <w:pgSz w:w="11906" w:h="16838"/>
          <w:pgMar w:top="1418" w:right="1134" w:bottom="1134" w:left="1418" w:header="1417" w:footer="1134" w:gutter="0"/>
          <w:pgBorders>
            <w:top w:val="none" w:sz="0" w:space="0"/>
            <w:left w:val="none" w:sz="0" w:space="0"/>
            <w:bottom w:val="none" w:sz="0" w:space="0"/>
            <w:right w:val="none" w:sz="0" w:space="0"/>
          </w:pgBorders>
          <w:pgNumType w:fmt="upperRoman" w:start="1"/>
          <w:cols w:space="425" w:num="1"/>
          <w:titlePg/>
          <w:docGrid w:type="lines" w:linePitch="312" w:charSpace="0"/>
        </w:sectPr>
      </w:pPr>
    </w:p>
    <w:p w14:paraId="45B749EE">
      <w:pPr>
        <w:pStyle w:val="41"/>
        <w:rPr>
          <w:rFonts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非道路柴油移动机械 高原排气污染物车载法检测规程</w:t>
      </w:r>
    </w:p>
    <w:p w14:paraId="239C1A89">
      <w:pPr>
        <w:pStyle w:val="25"/>
        <w:ind w:firstLine="420"/>
        <w:rPr>
          <w:rFonts w:hint="eastAsia"/>
        </w:rPr>
      </w:pPr>
      <w:r>
        <w:rPr>
          <w:rFonts w:hint="eastAsia" w:ascii="黑体" w:hAnsi="黑体" w:eastAsia="黑体"/>
        </w:rPr>
        <w:t>警告：本标准的应用可能涉及到某些有危险性的材料、操作和设备，但未对与此有关的所有安全问题都提出建议。因此，用户在使用本标准之前有责任制定相应的安全和防护措施（见附录A），并确定相关规章限制的适用性。</w:t>
      </w:r>
    </w:p>
    <w:p w14:paraId="36B2CE5D">
      <w:pPr>
        <w:pStyle w:val="39"/>
        <w:rPr>
          <w:rFonts w:hint="eastAsia"/>
        </w:rPr>
      </w:pPr>
      <w:bookmarkStart w:id="6" w:name="_Toc26077"/>
      <w:r>
        <w:rPr>
          <w:rFonts w:hint="eastAsia"/>
        </w:rPr>
        <w:t>1　范围</w:t>
      </w:r>
      <w:bookmarkEnd w:id="6"/>
    </w:p>
    <w:p w14:paraId="04A3A267">
      <w:pPr>
        <w:ind w:firstLine="420" w:firstLineChars="200"/>
        <w:rPr>
          <w:rFonts w:ascii="Times New Roman" w:hAnsi="Times New Roman" w:cs="Times New Roman"/>
          <w:szCs w:val="21"/>
        </w:rPr>
      </w:pPr>
      <w:r>
        <w:rPr>
          <w:rFonts w:hint="eastAsia" w:ascii="Times New Roman" w:hAnsi="Times New Roman" w:cs="Times New Roman"/>
          <w:szCs w:val="21"/>
        </w:rPr>
        <w:t>本文件规定了非道路柴油移动机械高原排气污染物车载法术语和定义、试验条件、排气污染物车载法试验、试验报告</w:t>
      </w:r>
      <w:r>
        <w:rPr>
          <w:rFonts w:ascii="Times New Roman" w:hAnsi="Times New Roman" w:cs="Times New Roman"/>
          <w:szCs w:val="21"/>
        </w:rPr>
        <w:t>。</w:t>
      </w:r>
    </w:p>
    <w:p w14:paraId="1499EA04">
      <w:pPr>
        <w:ind w:firstLine="420" w:firstLineChars="200"/>
        <w:rPr>
          <w:rFonts w:ascii="Times New Roman" w:hAnsi="Times New Roman" w:cs="Times New Roman"/>
          <w:szCs w:val="21"/>
        </w:rPr>
      </w:pPr>
      <w:r>
        <w:rPr>
          <w:rFonts w:hint="eastAsia" w:ascii="Times New Roman" w:hAnsi="Times New Roman" w:cs="Times New Roman"/>
          <w:szCs w:val="21"/>
        </w:rPr>
        <w:t>本文件适用于额定净功率范围在</w:t>
      </w:r>
      <w:r>
        <w:rPr>
          <w:rFonts w:hint="eastAsia" w:cs="宋体"/>
          <w:szCs w:val="21"/>
        </w:rPr>
        <w:t>37 kW～560 kW</w:t>
      </w:r>
      <w:r>
        <w:rPr>
          <w:rFonts w:hint="eastAsia" w:ascii="Times New Roman" w:hAnsi="Times New Roman" w:cs="Times New Roman"/>
          <w:szCs w:val="21"/>
        </w:rPr>
        <w:t>的</w:t>
      </w:r>
      <w:r>
        <w:rPr>
          <w:rFonts w:ascii="Times New Roman" w:hAnsi="Times New Roman" w:cs="Times New Roman"/>
          <w:szCs w:val="21"/>
        </w:rPr>
        <w:t>非道路柴油移动机械。</w:t>
      </w:r>
    </w:p>
    <w:p w14:paraId="6FB34F73">
      <w:pPr>
        <w:pStyle w:val="39"/>
        <w:rPr>
          <w:rFonts w:hint="eastAsia"/>
        </w:rPr>
      </w:pPr>
      <w:bookmarkStart w:id="7" w:name="_Toc3322"/>
      <w:r>
        <w:rPr>
          <w:rFonts w:hint="eastAsia"/>
        </w:rPr>
        <w:t>2　规范性引用文件</w:t>
      </w:r>
      <w:bookmarkEnd w:id="7"/>
    </w:p>
    <w:p w14:paraId="4CFBF13A">
      <w:pPr>
        <w:pStyle w:val="25"/>
        <w:ind w:firstLine="420"/>
        <w:rPr>
          <w:rFonts w:hint="eastAsia" w:cs="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862210C">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GB 17691—2018 重型柴油车污染物排放限值及测量方法（中国第六阶段）</w:t>
      </w:r>
    </w:p>
    <w:p w14:paraId="679AC78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GB 20891—2014 非道路移动机械用柴油机排气污染物排放限值及测量方法(中国第三、四阶段）</w:t>
      </w:r>
    </w:p>
    <w:p w14:paraId="37E5CE7A">
      <w:pPr>
        <w:pStyle w:val="2"/>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HJ 1014—2020 非道路柴油移动机械污染物排放控制技术要求</w:t>
      </w:r>
    </w:p>
    <w:p w14:paraId="062EF3E4">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0141—2022 液压挖掘机 排气污染物车载测量方法</w:t>
      </w:r>
    </w:p>
    <w:p w14:paraId="524F35F0">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0142—2022 轮胎式装载机 排气污染物车载测量方法</w:t>
      </w:r>
    </w:p>
    <w:p w14:paraId="43D5164C">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0183—2024 推土机 排气污染物车载测量方法</w:t>
      </w:r>
    </w:p>
    <w:p w14:paraId="60C540D7">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0184—2024 平地机 排气污染物车载测量方法</w:t>
      </w:r>
    </w:p>
    <w:p w14:paraId="0A557324">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0185—2024 压路机 排气污染物车载测量方法</w:t>
      </w:r>
    </w:p>
    <w:p w14:paraId="0B2EE94C">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T/CCMA 0186—2024 非公路自卸车 排气污染物车载测量方法</w:t>
      </w:r>
    </w:p>
    <w:p w14:paraId="21B8CB7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T/CAAMM 302—2023 收获机械排气污染物车载测量方法</w:t>
      </w:r>
    </w:p>
    <w:p w14:paraId="4961AF27">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T/CAAMM 336—2024 拖拉机排气污染物车载测量方法</w:t>
      </w:r>
    </w:p>
    <w:p w14:paraId="438943BC">
      <w:pPr>
        <w:pStyle w:val="25"/>
        <w:ind w:firstLine="420"/>
        <w:rPr>
          <w:rFonts w:hint="eastAsia" w:cs="宋体"/>
          <w:color w:val="000000" w:themeColor="text1"/>
          <w:szCs w:val="21"/>
          <w14:textFill>
            <w14:solidFill>
              <w14:schemeClr w14:val="tx1"/>
            </w14:solidFill>
          </w14:textFill>
        </w:rPr>
      </w:pPr>
      <w:r>
        <w:rPr>
          <w:rFonts w:hint="eastAsia" w:cs="宋体"/>
          <w:color w:val="000000" w:themeColor="text1"/>
          <w:kern w:val="2"/>
          <w:szCs w:val="21"/>
          <w14:textFill>
            <w14:solidFill>
              <w14:schemeClr w14:val="tx1"/>
            </w14:solidFill>
          </w14:textFill>
        </w:rPr>
        <w:t>T/CAAMM 337—2024 自走式植保机械排气污染物车载测量方法</w:t>
      </w:r>
    </w:p>
    <w:p w14:paraId="03F8519A">
      <w:pPr>
        <w:pStyle w:val="39"/>
        <w:rPr>
          <w:rFonts w:hint="eastAsia"/>
        </w:rPr>
      </w:pPr>
      <w:bookmarkStart w:id="8" w:name="_Toc16391"/>
      <w:r>
        <w:rPr>
          <w:rFonts w:hint="eastAsia"/>
        </w:rPr>
        <w:t>3　术语和定义</w:t>
      </w:r>
      <w:bookmarkEnd w:id="8"/>
    </w:p>
    <w:p w14:paraId="685F2D4D">
      <w:pPr>
        <w:pStyle w:val="25"/>
        <w:ind w:firstLine="420"/>
        <w:rPr>
          <w:rFonts w:hint="eastAsia"/>
        </w:rPr>
      </w:pPr>
      <w:r>
        <w:rPr>
          <w:rFonts w:hint="eastAsia" w:cs="宋体"/>
          <w:kern w:val="2"/>
          <w:szCs w:val="21"/>
        </w:rPr>
        <w:t>GB 17691—2018、GB 20891—2014</w:t>
      </w:r>
      <w:r>
        <w:rPr>
          <w:rFonts w:hint="eastAsia" w:cs="宋体"/>
          <w:szCs w:val="21"/>
        </w:rPr>
        <w:t>、</w:t>
      </w:r>
      <w:r>
        <w:rPr>
          <w:rFonts w:hint="eastAsia" w:cs="宋体"/>
          <w:kern w:val="2"/>
          <w:szCs w:val="21"/>
        </w:rPr>
        <w:t>HJ 1014—2020</w:t>
      </w:r>
      <w:r>
        <w:rPr>
          <w:rFonts w:hint="eastAsia" w:cs="宋体"/>
        </w:rPr>
        <w:t>界定的以及下列术语和定义适用于本文件。</w:t>
      </w:r>
    </w:p>
    <w:p w14:paraId="2659D132">
      <w:pPr>
        <w:spacing w:before="156" w:beforeLines="50" w:after="156" w:afterLines="50"/>
        <w:rPr>
          <w:rFonts w:hint="eastAsia"/>
        </w:rPr>
      </w:pPr>
      <w:bookmarkStart w:id="9" w:name="_Toc198646025"/>
      <w:bookmarkStart w:id="10" w:name="_Toc198645608"/>
      <w:bookmarkStart w:id="11" w:name="_Toc198645760"/>
      <w:bookmarkStart w:id="12" w:name="_Toc198646096"/>
      <w:r>
        <w:rPr>
          <w:rFonts w:hint="eastAsia" w:ascii="黑体" w:hAnsi="黑体" w:eastAsia="黑体" w:cs="黑体"/>
        </w:rPr>
        <w:t>3.1</w:t>
      </w:r>
      <w:bookmarkEnd w:id="9"/>
      <w:bookmarkEnd w:id="10"/>
      <w:bookmarkEnd w:id="11"/>
      <w:bookmarkEnd w:id="12"/>
      <w:r>
        <w:rPr>
          <w:rFonts w:hint="eastAsia"/>
        </w:rPr>
        <w:t>　</w:t>
      </w:r>
    </w:p>
    <w:p w14:paraId="5EBB260E">
      <w:pPr>
        <w:pStyle w:val="27"/>
        <w:ind w:firstLine="420"/>
        <w:rPr>
          <w:rFonts w:hint="eastAsia"/>
          <w:color w:val="000000"/>
        </w:rPr>
      </w:pPr>
      <w:r>
        <w:rPr>
          <w:rFonts w:hint="eastAsia" w:hAnsi="Calibri"/>
          <w:kern w:val="2"/>
        </w:rPr>
        <w:t xml:space="preserve">高原环境 </w:t>
      </w:r>
      <w:r>
        <w:rPr>
          <w:rFonts w:hint="eastAsia"/>
          <w:color w:val="000000"/>
        </w:rPr>
        <w:t>plateau environment</w:t>
      </w:r>
    </w:p>
    <w:p w14:paraId="4CAFDE72">
      <w:pPr>
        <w:pStyle w:val="25"/>
        <w:ind w:firstLine="420"/>
        <w:rPr>
          <w:rFonts w:hint="eastAsia"/>
          <w:color w:val="000000" w:themeColor="text1"/>
          <w14:textFill>
            <w14:solidFill>
              <w14:schemeClr w14:val="tx1"/>
            </w14:solidFill>
          </w14:textFill>
        </w:rPr>
      </w:pPr>
      <w:r>
        <w:rPr>
          <w:rFonts w:hint="eastAsia" w:cs="宋体"/>
          <w:color w:val="000000" w:themeColor="text1"/>
          <w:szCs w:val="21"/>
          <w14:textFill>
            <w14:solidFill>
              <w14:schemeClr w14:val="tx1"/>
            </w14:solidFill>
          </w14:textFill>
        </w:rPr>
        <w:t>指海拔在1500米到5600米的环境。</w:t>
      </w:r>
    </w:p>
    <w:p w14:paraId="11F5A2D1">
      <w:pPr>
        <w:spacing w:before="156" w:beforeLines="50" w:after="156" w:afterLines="50"/>
        <w:rPr>
          <w:rFonts w:hint="eastAsia"/>
        </w:rPr>
      </w:pPr>
      <w:r>
        <w:rPr>
          <w:rFonts w:hint="eastAsia" w:ascii="黑体" w:hAnsi="黑体" w:eastAsia="黑体" w:cs="黑体"/>
        </w:rPr>
        <w:t>3.2</w:t>
      </w:r>
      <w:r>
        <w:rPr>
          <w:rFonts w:hint="eastAsia"/>
        </w:rPr>
        <w:t>　</w:t>
      </w:r>
    </w:p>
    <w:p w14:paraId="1773F8E1">
      <w:pPr>
        <w:pStyle w:val="27"/>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szCs w:val="21"/>
        </w:rPr>
      </w:pPr>
      <w:r>
        <w:rPr>
          <w:rFonts w:hint="eastAsia" w:ascii="黑体" w:eastAsia="黑体" w:cs="黑体"/>
          <w:color w:val="000000"/>
          <w:kern w:val="0"/>
          <w:szCs w:val="21"/>
          <w:lang w:bidi="ar"/>
        </w:rPr>
        <w:t>额定净</w:t>
      </w:r>
      <w:r>
        <w:rPr>
          <w:rFonts w:ascii="黑体" w:eastAsia="黑体" w:cs="黑体"/>
          <w:color w:val="000000"/>
          <w:kern w:val="0"/>
          <w:szCs w:val="21"/>
          <w:lang w:bidi="ar"/>
        </w:rPr>
        <w:t xml:space="preserve">功率 </w:t>
      </w:r>
      <w:r>
        <w:rPr>
          <w:rFonts w:hint="eastAsia" w:ascii="黑体" w:hAnsi="黑体" w:eastAsia="黑体" w:cs="Times New Roman"/>
          <w:color w:val="000000"/>
          <w:kern w:val="0"/>
          <w:szCs w:val="21"/>
        </w:rPr>
        <w:t>（</w:t>
      </w:r>
      <w:r>
        <w:rPr>
          <w:rFonts w:ascii="黑体" w:hAnsi="黑体" w:eastAsia="黑体" w:cs="Times New Roman"/>
          <w:color w:val="000000"/>
          <w:kern w:val="0"/>
          <w:szCs w:val="21"/>
        </w:rPr>
        <w:t>Pmax</w:t>
      </w:r>
      <w:r>
        <w:rPr>
          <w:rFonts w:hint="eastAsia" w:ascii="黑体" w:hAnsi="黑体" w:eastAsia="黑体" w:cs="Times New Roman"/>
          <w:color w:val="000000"/>
          <w:kern w:val="0"/>
          <w:szCs w:val="21"/>
        </w:rPr>
        <w:t>）</w:t>
      </w:r>
      <w:r>
        <w:rPr>
          <w:rFonts w:ascii="黑体" w:hAnsi="黑体" w:eastAsia="黑体" w:cs="Times New Roman"/>
          <w:color w:val="000000"/>
          <w:kern w:val="0"/>
          <w:szCs w:val="21"/>
        </w:rPr>
        <w:t>rated net power</w:t>
      </w:r>
      <w:r>
        <w:rPr>
          <w:rFonts w:hint="eastAsia" w:ascii="黑体" w:hAnsi="黑体" w:eastAsia="黑体" w:cs="Times New Roman"/>
          <w:color w:val="000000"/>
          <w:kern w:val="0"/>
          <w:szCs w:val="21"/>
        </w:rPr>
        <w:t xml:space="preserve"> </w:t>
      </w:r>
    </w:p>
    <w:p w14:paraId="571F981E">
      <w:pPr>
        <w:widowControl/>
        <w:ind w:firstLine="420" w:firstLineChars="200"/>
        <w:jc w:val="left"/>
        <w:rPr>
          <w:rFonts w:hint="eastAsia"/>
        </w:rPr>
      </w:pPr>
      <w:r>
        <w:rPr>
          <w:rFonts w:hint="eastAsia" w:cs="宋体"/>
          <w:color w:val="000000"/>
          <w:kern w:val="0"/>
          <w:szCs w:val="21"/>
          <w:lang w:bidi="ar"/>
        </w:rPr>
        <w:t>指制造企业为柴油机型式核准时标明的净功率。</w:t>
      </w:r>
    </w:p>
    <w:p w14:paraId="721BA291">
      <w:pPr>
        <w:pStyle w:val="39"/>
        <w:rPr>
          <w:rFonts w:hint="eastAsia"/>
        </w:rPr>
      </w:pPr>
      <w:bookmarkStart w:id="13" w:name="_Toc511374136"/>
      <w:bookmarkStart w:id="14" w:name="_Toc2405"/>
      <w:r>
        <w:rPr>
          <w:rFonts w:hint="eastAsia"/>
        </w:rPr>
        <w:t>4</w:t>
      </w:r>
      <w:bookmarkEnd w:id="13"/>
      <w:r>
        <w:rPr>
          <w:rFonts w:hint="eastAsia"/>
        </w:rPr>
        <w:t>　</w:t>
      </w:r>
      <w:bookmarkStart w:id="15" w:name="_Toc6064"/>
      <w:r>
        <w:rPr>
          <w:rFonts w:hint="eastAsia"/>
          <w:szCs w:val="21"/>
        </w:rPr>
        <w:t>试验条件</w:t>
      </w:r>
      <w:bookmarkEnd w:id="14"/>
      <w:bookmarkEnd w:id="15"/>
    </w:p>
    <w:p w14:paraId="2938958E">
      <w:pPr>
        <w:pStyle w:val="38"/>
        <w:rPr>
          <w:rFonts w:hint="eastAsia"/>
        </w:rPr>
      </w:pPr>
      <w:bookmarkStart w:id="16" w:name="_Toc12968"/>
      <w:r>
        <w:rPr>
          <w:rFonts w:hint="eastAsia"/>
        </w:rPr>
        <w:t>4.1　环境要求</w:t>
      </w:r>
      <w:bookmarkEnd w:id="16"/>
    </w:p>
    <w:p w14:paraId="7ACE2C3E">
      <w:pPr>
        <w:widowControl/>
        <w:ind w:firstLine="420" w:firstLineChars="200"/>
        <w:jc w:val="left"/>
        <w:rPr>
          <w:rFonts w:hint="eastAsia" w:cs="宋体"/>
          <w:color w:val="000000"/>
          <w:kern w:val="0"/>
          <w:szCs w:val="21"/>
          <w:lang w:bidi="ar"/>
        </w:rPr>
      </w:pPr>
      <w:r>
        <w:rPr>
          <w:rFonts w:hint="eastAsia" w:cs="宋体"/>
          <w:color w:val="000000"/>
          <w:kern w:val="0"/>
          <w:szCs w:val="21"/>
          <w:lang w:bidi="ar"/>
        </w:rPr>
        <w:t>测试时海拔在1500 m到56</w:t>
      </w:r>
      <w:r>
        <w:rPr>
          <w:rFonts w:cs="宋体"/>
          <w:color w:val="000000"/>
          <w:kern w:val="0"/>
          <w:szCs w:val="21"/>
          <w:lang w:bidi="ar"/>
        </w:rPr>
        <w:t>00 m</w:t>
      </w:r>
      <w:r>
        <w:rPr>
          <w:rFonts w:hint="eastAsia" w:cs="宋体"/>
          <w:color w:val="000000"/>
          <w:kern w:val="0"/>
          <w:szCs w:val="21"/>
          <w:lang w:bidi="ar"/>
        </w:rPr>
        <w:t>。</w:t>
      </w:r>
    </w:p>
    <w:p w14:paraId="5284478D">
      <w:pPr>
        <w:widowControl/>
        <w:ind w:firstLine="420" w:firstLineChars="200"/>
        <w:jc w:val="left"/>
        <w:rPr>
          <w:rFonts w:hint="eastAsia"/>
        </w:rPr>
      </w:pPr>
      <w:r>
        <w:rPr>
          <w:rFonts w:hint="eastAsia" w:cs="宋体"/>
          <w:color w:val="000000"/>
          <w:kern w:val="0"/>
          <w:szCs w:val="21"/>
          <w:lang w:bidi="ar"/>
        </w:rPr>
        <w:t>环境温度在</w:t>
      </w:r>
      <w:r>
        <w:rPr>
          <w:rFonts w:cs="宋体"/>
          <w:color w:val="000000"/>
          <w:kern w:val="0"/>
          <w:szCs w:val="21"/>
          <w:lang w:bidi="ar"/>
        </w:rPr>
        <w:t>2</w:t>
      </w:r>
      <w:r>
        <w:rPr>
          <w:rFonts w:hint="eastAsia" w:cs="宋体"/>
          <w:color w:val="000000"/>
          <w:kern w:val="0"/>
          <w:szCs w:val="21"/>
          <w:lang w:bidi="ar"/>
        </w:rPr>
        <w:t>83</w:t>
      </w:r>
      <w:r>
        <w:rPr>
          <w:rFonts w:cs="宋体"/>
          <w:color w:val="000000"/>
          <w:kern w:val="0"/>
          <w:szCs w:val="21"/>
          <w:lang w:bidi="ar"/>
        </w:rPr>
        <w:t xml:space="preserve"> K</w:t>
      </w:r>
      <w:r>
        <w:rPr>
          <w:rFonts w:hint="eastAsia" w:cs="宋体"/>
          <w:color w:val="000000"/>
          <w:kern w:val="0"/>
          <w:szCs w:val="21"/>
          <w:lang w:bidi="ar"/>
        </w:rPr>
        <w:t>到</w:t>
      </w:r>
      <w:r>
        <w:rPr>
          <w:rFonts w:cs="宋体"/>
          <w:color w:val="000000"/>
          <w:kern w:val="0"/>
          <w:szCs w:val="21"/>
          <w:lang w:bidi="ar"/>
        </w:rPr>
        <w:t>31</w:t>
      </w:r>
      <w:r>
        <w:rPr>
          <w:rFonts w:hint="eastAsia" w:cs="宋体"/>
          <w:color w:val="000000"/>
          <w:kern w:val="0"/>
          <w:szCs w:val="21"/>
          <w:lang w:bidi="ar"/>
        </w:rPr>
        <w:t>1</w:t>
      </w:r>
      <w:r>
        <w:rPr>
          <w:rFonts w:cs="宋体"/>
          <w:color w:val="000000"/>
          <w:kern w:val="0"/>
          <w:szCs w:val="21"/>
          <w:lang w:bidi="ar"/>
        </w:rPr>
        <w:t xml:space="preserve"> K</w:t>
      </w:r>
      <w:r>
        <w:rPr>
          <w:rFonts w:hint="eastAsia" w:cs="宋体"/>
          <w:color w:val="000000"/>
          <w:kern w:val="0"/>
          <w:szCs w:val="21"/>
          <w:lang w:bidi="ar"/>
        </w:rPr>
        <w:t>(10</w:t>
      </w:r>
      <w:r>
        <w:rPr>
          <w:rFonts w:cs="宋体"/>
          <w:color w:val="000000"/>
          <w:kern w:val="0"/>
          <w:szCs w:val="21"/>
          <w:lang w:bidi="ar"/>
        </w:rPr>
        <w:t xml:space="preserve"> ℃</w:t>
      </w:r>
      <w:r>
        <w:rPr>
          <w:rFonts w:hint="eastAsia" w:cs="宋体"/>
          <w:color w:val="000000"/>
          <w:kern w:val="0"/>
          <w:szCs w:val="21"/>
          <w:lang w:bidi="ar"/>
        </w:rPr>
        <w:t>到38</w:t>
      </w:r>
      <w:r>
        <w:rPr>
          <w:rFonts w:cs="宋体"/>
          <w:color w:val="000000"/>
          <w:kern w:val="0"/>
          <w:szCs w:val="21"/>
          <w:lang w:bidi="ar"/>
        </w:rPr>
        <w:t xml:space="preserve"> ℃</w:t>
      </w:r>
      <w:r>
        <w:rPr>
          <w:rFonts w:hint="eastAsia" w:cs="宋体"/>
          <w:color w:val="000000"/>
          <w:kern w:val="0"/>
          <w:szCs w:val="21"/>
          <w:lang w:bidi="ar"/>
        </w:rPr>
        <w:t>)。</w:t>
      </w:r>
    </w:p>
    <w:p w14:paraId="37B9BDF8">
      <w:pPr>
        <w:pStyle w:val="38"/>
        <w:rPr>
          <w:rFonts w:hint="eastAsia"/>
        </w:rPr>
      </w:pPr>
      <w:bookmarkStart w:id="17" w:name="_Toc24568"/>
      <w:r>
        <w:t>4.</w:t>
      </w:r>
      <w:r>
        <w:rPr>
          <w:rFonts w:hint="eastAsia"/>
        </w:rPr>
        <w:t>2　</w:t>
      </w:r>
      <w:r>
        <w:rPr>
          <w:rFonts w:hint="eastAsia" w:cs="黑体"/>
          <w:lang w:bidi="ar"/>
        </w:rPr>
        <w:t>测试机械准备</w:t>
      </w:r>
      <w:bookmarkEnd w:id="17"/>
    </w:p>
    <w:p w14:paraId="6BB9B373">
      <w:pPr>
        <w:spacing w:before="156" w:beforeLines="50" w:after="156" w:afterLines="50"/>
        <w:rPr>
          <w:rFonts w:hint="eastAsia"/>
        </w:rPr>
      </w:pPr>
      <w:r>
        <w:rPr>
          <w:rFonts w:hint="eastAsia"/>
        </w:rPr>
        <w:t>4.2.1　</w:t>
      </w:r>
      <w:r>
        <w:rPr>
          <w:rFonts w:hint="eastAsia" w:cs="宋体"/>
          <w:kern w:val="0"/>
          <w:szCs w:val="21"/>
          <w:lang w:bidi="ar"/>
        </w:rPr>
        <w:t>机械用柴油机应不超过8000 h，且机械应正常使用和维护保养，未经改动。机械的污染物排放控制装置工作正常，未有影响污染物排放控制装置正常工作的报警或故障，如：柴油机有污染物排放控制装置相关传感器损坏等。</w:t>
      </w:r>
    </w:p>
    <w:p w14:paraId="4E26333F">
      <w:pPr>
        <w:spacing w:before="156" w:beforeLines="50" w:after="156" w:afterLines="50"/>
        <w:rPr>
          <w:rFonts w:hint="eastAsia"/>
        </w:rPr>
      </w:pPr>
      <w:r>
        <w:rPr>
          <w:rFonts w:hint="eastAsia"/>
        </w:rPr>
        <w:t>4.2.2　</w:t>
      </w:r>
      <w:r>
        <w:rPr>
          <w:rFonts w:hint="eastAsia" w:cs="宋体"/>
          <w:kern w:val="0"/>
          <w:szCs w:val="21"/>
          <w:lang w:bidi="ar"/>
        </w:rPr>
        <w:t>机械排放控制诊断系统应符合</w:t>
      </w:r>
      <w:r>
        <w:rPr>
          <w:rFonts w:hint="eastAsia" w:cs="宋体"/>
          <w:szCs w:val="21"/>
        </w:rPr>
        <w:t>HJ 1014—2020中</w:t>
      </w:r>
      <w:r>
        <w:rPr>
          <w:rFonts w:hint="eastAsia" w:cs="宋体"/>
          <w:kern w:val="0"/>
          <w:szCs w:val="21"/>
          <w:lang w:bidi="ar"/>
        </w:rPr>
        <w:t>5.7.2的规定。通过标准的诊断串行接口能获取：冷却液温度、柴油机转速、参考扭矩、实际扭矩百分比、摩擦扭矩百分比、柴油机燃油消耗速率等数据。数据采集频率至少为1 Hz。</w:t>
      </w:r>
    </w:p>
    <w:p w14:paraId="2A88C417">
      <w:pPr>
        <w:spacing w:before="156" w:beforeLines="50" w:after="156" w:afterLines="50"/>
        <w:rPr>
          <w:rFonts w:hint="eastAsia"/>
        </w:rPr>
      </w:pPr>
      <w:r>
        <w:rPr>
          <w:rFonts w:hint="eastAsia"/>
        </w:rPr>
        <w:t>4.2.3　试验开始前，应采用OBD诊断仪确认机械状态，若机械报出故障，则应对机械进行处理，待故障清除后方可进行试验。</w:t>
      </w:r>
    </w:p>
    <w:p w14:paraId="5BD775C7">
      <w:pPr>
        <w:spacing w:before="156" w:beforeLines="50" w:after="156" w:afterLines="50"/>
        <w:rPr>
          <w:rFonts w:hint="eastAsia"/>
        </w:rPr>
      </w:pPr>
      <w:r>
        <w:rPr>
          <w:rFonts w:hint="eastAsia"/>
        </w:rPr>
        <w:t>4.2.4　试验燃料和反应剂应为分别满足相关法规的市售燃料（若对测试结果有异议，可使用基准燃料进行复测）和反应剂，且能保证足够2 h以上运行时间。</w:t>
      </w:r>
    </w:p>
    <w:p w14:paraId="73CE41CF">
      <w:pPr>
        <w:spacing w:before="156" w:beforeLines="50" w:after="156" w:afterLines="50"/>
        <w:rPr>
          <w:rFonts w:hint="eastAsia"/>
        </w:rPr>
      </w:pPr>
      <w:r>
        <w:rPr>
          <w:rFonts w:hint="eastAsia"/>
        </w:rPr>
        <w:t>4.2.5　</w:t>
      </w:r>
      <w:r>
        <w:rPr>
          <w:rFonts w:hint="eastAsia" w:cs="宋体"/>
          <w:kern w:val="0"/>
          <w:szCs w:val="21"/>
          <w:lang w:bidi="ar"/>
        </w:rPr>
        <w:t>试验若发生周期性再生事件，应满足HJ 1014—2020中E.2.1.4的要求。</w:t>
      </w:r>
    </w:p>
    <w:p w14:paraId="4ABF9F54">
      <w:pPr>
        <w:pStyle w:val="38"/>
        <w:rPr>
          <w:rFonts w:hint="eastAsia" w:cs="黑体"/>
          <w:kern w:val="2"/>
        </w:rPr>
      </w:pPr>
      <w:bookmarkStart w:id="18" w:name="_Toc28969"/>
      <w:r>
        <w:rPr>
          <w:rFonts w:hint="eastAsia"/>
        </w:rPr>
        <w:t>4.3　</w:t>
      </w:r>
      <w:r>
        <w:rPr>
          <w:rFonts w:hint="eastAsia" w:cs="黑体"/>
          <w:kern w:val="2"/>
        </w:rPr>
        <w:t>测试设备准备</w:t>
      </w:r>
      <w:bookmarkEnd w:id="18"/>
    </w:p>
    <w:p w14:paraId="3450408B">
      <w:pPr>
        <w:pStyle w:val="25"/>
        <w:ind w:firstLine="420"/>
        <w:rPr>
          <w:rFonts w:hint="eastAsia"/>
        </w:rPr>
      </w:pPr>
      <w:r>
        <w:rPr>
          <w:rFonts w:hint="eastAsia" w:cs="宋体"/>
          <w:szCs w:val="21"/>
        </w:rPr>
        <w:t>试验使用</w:t>
      </w:r>
      <w:r>
        <w:rPr>
          <w:rFonts w:hint="eastAsia" w:cs="宋体"/>
          <w:kern w:val="2"/>
          <w:szCs w:val="21"/>
        </w:rPr>
        <w:t>GB 17691—2018中</w:t>
      </w:r>
      <w:r>
        <w:rPr>
          <w:rFonts w:hint="eastAsia" w:cs="宋体"/>
          <w:szCs w:val="21"/>
        </w:rPr>
        <w:t>附件KB规定的</w:t>
      </w:r>
      <w:r>
        <w:rPr>
          <w:rFonts w:hint="eastAsia" w:cs="宋体"/>
          <w:szCs w:val="21"/>
          <w:lang w:bidi="ar"/>
        </w:rPr>
        <w:t>PEMS进行整机实际作业工况排放测试，PEMS设备应正常使用和维护保养。在高原环境下，应检查PEMS设备线性系数，若标定不通过，需调整线性系数。此外，应检查PEMS设备压力，必要时进行压力调整。</w:t>
      </w:r>
    </w:p>
    <w:p w14:paraId="05C8E4F9">
      <w:pPr>
        <w:pStyle w:val="38"/>
        <w:rPr>
          <w:rFonts w:hint="eastAsia"/>
        </w:rPr>
      </w:pPr>
      <w:bookmarkStart w:id="19" w:name="_Toc29925"/>
      <w:r>
        <w:rPr>
          <w:rFonts w:hint="eastAsia"/>
        </w:rPr>
        <w:t>4.4　测试方法</w:t>
      </w:r>
      <w:bookmarkEnd w:id="19"/>
    </w:p>
    <w:p w14:paraId="0704DB15">
      <w:pPr>
        <w:pStyle w:val="25"/>
        <w:ind w:firstLine="420"/>
        <w:rPr>
          <w:rFonts w:hint="eastAsia" w:cs="宋体"/>
          <w:color w:val="000000" w:themeColor="text1"/>
          <w:szCs w:val="21"/>
          <w:lang w:bidi="ar"/>
          <w14:textFill>
            <w14:solidFill>
              <w14:schemeClr w14:val="tx1"/>
            </w14:solidFill>
          </w14:textFill>
        </w:rPr>
      </w:pPr>
      <w:r>
        <w:rPr>
          <w:rFonts w:hint="eastAsia" w:cs="宋体"/>
          <w:color w:val="000000" w:themeColor="text1"/>
          <w:szCs w:val="21"/>
          <w:lang w:bidi="ar"/>
          <w14:textFill>
            <w14:solidFill>
              <w14:schemeClr w14:val="tx1"/>
            </w14:solidFill>
          </w14:textFill>
        </w:rPr>
        <w:t>不同非道路移动机械按照表1的规定进行实际作业排放试验。高原环境下，若机械累积功达不到发动机相应高原测试海拔（±100 m）NRTC循环功的5—7倍时，应尽量保证全负荷进行试验</w:t>
      </w:r>
      <w:r>
        <w:rPr>
          <w:rFonts w:hint="eastAsia"/>
        </w:rPr>
        <w:t>，并记录最终循环功倍数值</w:t>
      </w:r>
      <w:r>
        <w:rPr>
          <w:rFonts w:hint="eastAsia" w:cs="宋体"/>
          <w:color w:val="000000" w:themeColor="text1"/>
          <w:szCs w:val="21"/>
          <w:lang w:bidi="ar"/>
          <w14:textFill>
            <w14:solidFill>
              <w14:schemeClr w14:val="tx1"/>
            </w14:solidFill>
          </w14:textFill>
        </w:rPr>
        <w:t>。</w:t>
      </w:r>
    </w:p>
    <w:p w14:paraId="60557810">
      <w:pPr>
        <w:pStyle w:val="45"/>
        <w:bidi w:val="0"/>
        <w:rPr>
          <w:rFonts w:hint="eastAsia"/>
        </w:rPr>
      </w:pPr>
      <w:r>
        <w:rPr>
          <w:rFonts w:hint="eastAsia"/>
        </w:rPr>
        <w:t>表1 不同非道路移动机械的实际作业排放测试方法</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
        <w:gridCol w:w="1048"/>
        <w:gridCol w:w="1049"/>
        <w:gridCol w:w="1049"/>
        <w:gridCol w:w="1049"/>
        <w:gridCol w:w="1049"/>
        <w:gridCol w:w="1049"/>
        <w:gridCol w:w="965"/>
        <w:gridCol w:w="965"/>
        <w:gridCol w:w="965"/>
      </w:tblGrid>
      <w:tr w14:paraId="0E81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 w:type="dxa"/>
            <w:tcBorders>
              <w:top w:val="single" w:color="auto" w:sz="12" w:space="0"/>
              <w:left w:val="single" w:color="auto" w:sz="12" w:space="0"/>
              <w:bottom w:val="single" w:color="auto" w:sz="4" w:space="0"/>
              <w:right w:val="single" w:color="auto" w:sz="4" w:space="0"/>
            </w:tcBorders>
            <w:vAlign w:val="center"/>
          </w:tcPr>
          <w:p w14:paraId="49EBE9EF">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sz w:val="18"/>
                <w:szCs w:val="18"/>
                <w:lang w:bidi="ar"/>
                <w14:textFill>
                  <w14:solidFill>
                    <w14:schemeClr w14:val="tx1"/>
                  </w14:solidFill>
                </w14:textFill>
              </w:rPr>
              <w:t>机械类型</w:t>
            </w:r>
          </w:p>
        </w:tc>
        <w:tc>
          <w:tcPr>
            <w:tcW w:w="1048" w:type="dxa"/>
            <w:tcBorders>
              <w:top w:val="single" w:color="auto" w:sz="12" w:space="0"/>
              <w:left w:val="single" w:color="auto" w:sz="4" w:space="0"/>
              <w:bottom w:val="single" w:color="auto" w:sz="4" w:space="0"/>
              <w:right w:val="single" w:color="auto" w:sz="4" w:space="0"/>
            </w:tcBorders>
            <w:vAlign w:val="center"/>
          </w:tcPr>
          <w:p w14:paraId="7A7A53C8">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液压挖掘机</w:t>
            </w:r>
          </w:p>
        </w:tc>
        <w:tc>
          <w:tcPr>
            <w:tcW w:w="1049" w:type="dxa"/>
            <w:tcBorders>
              <w:top w:val="single" w:color="auto" w:sz="12" w:space="0"/>
              <w:left w:val="single" w:color="auto" w:sz="4" w:space="0"/>
              <w:bottom w:val="single" w:color="auto" w:sz="4" w:space="0"/>
              <w:right w:val="single" w:color="auto" w:sz="4" w:space="0"/>
            </w:tcBorders>
            <w:vAlign w:val="center"/>
          </w:tcPr>
          <w:p w14:paraId="41ED1751">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轮胎式装载机</w:t>
            </w:r>
          </w:p>
        </w:tc>
        <w:tc>
          <w:tcPr>
            <w:tcW w:w="1049" w:type="dxa"/>
            <w:tcBorders>
              <w:top w:val="single" w:color="auto" w:sz="12" w:space="0"/>
              <w:left w:val="single" w:color="auto" w:sz="4" w:space="0"/>
              <w:bottom w:val="single" w:color="auto" w:sz="4" w:space="0"/>
              <w:right w:val="single" w:color="auto" w:sz="4" w:space="0"/>
            </w:tcBorders>
            <w:vAlign w:val="center"/>
          </w:tcPr>
          <w:p w14:paraId="3FA45B6A">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推土机</w:t>
            </w:r>
          </w:p>
        </w:tc>
        <w:tc>
          <w:tcPr>
            <w:tcW w:w="1049" w:type="dxa"/>
            <w:tcBorders>
              <w:top w:val="single" w:color="auto" w:sz="12" w:space="0"/>
              <w:left w:val="single" w:color="auto" w:sz="4" w:space="0"/>
              <w:bottom w:val="single" w:color="auto" w:sz="4" w:space="0"/>
              <w:right w:val="single" w:color="auto" w:sz="4" w:space="0"/>
            </w:tcBorders>
            <w:vAlign w:val="center"/>
          </w:tcPr>
          <w:p w14:paraId="1F53B4F2">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平地机</w:t>
            </w:r>
          </w:p>
        </w:tc>
        <w:tc>
          <w:tcPr>
            <w:tcW w:w="1049" w:type="dxa"/>
            <w:tcBorders>
              <w:top w:val="single" w:color="auto" w:sz="12" w:space="0"/>
              <w:left w:val="single" w:color="auto" w:sz="4" w:space="0"/>
              <w:bottom w:val="single" w:color="auto" w:sz="4" w:space="0"/>
              <w:right w:val="single" w:color="auto" w:sz="4" w:space="0"/>
            </w:tcBorders>
            <w:vAlign w:val="center"/>
          </w:tcPr>
          <w:p w14:paraId="69516DAC">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压路机</w:t>
            </w:r>
          </w:p>
        </w:tc>
        <w:tc>
          <w:tcPr>
            <w:tcW w:w="1049" w:type="dxa"/>
            <w:tcBorders>
              <w:top w:val="single" w:color="auto" w:sz="12" w:space="0"/>
              <w:left w:val="single" w:color="auto" w:sz="4" w:space="0"/>
              <w:bottom w:val="single" w:color="auto" w:sz="4" w:space="0"/>
              <w:right w:val="single" w:color="auto" w:sz="4" w:space="0"/>
            </w:tcBorders>
            <w:vAlign w:val="center"/>
          </w:tcPr>
          <w:p w14:paraId="73E93D71">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非公路自卸车</w:t>
            </w:r>
          </w:p>
        </w:tc>
        <w:tc>
          <w:tcPr>
            <w:tcW w:w="965" w:type="dxa"/>
            <w:tcBorders>
              <w:top w:val="single" w:color="auto" w:sz="12" w:space="0"/>
              <w:left w:val="single" w:color="auto" w:sz="4" w:space="0"/>
              <w:bottom w:val="single" w:color="auto" w:sz="4" w:space="0"/>
              <w:right w:val="single" w:color="auto" w:sz="4" w:space="0"/>
            </w:tcBorders>
            <w:vAlign w:val="center"/>
          </w:tcPr>
          <w:p w14:paraId="55E70FB6">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收获机械</w:t>
            </w:r>
          </w:p>
        </w:tc>
        <w:tc>
          <w:tcPr>
            <w:tcW w:w="965" w:type="dxa"/>
            <w:tcBorders>
              <w:top w:val="single" w:color="auto" w:sz="12" w:space="0"/>
              <w:left w:val="single" w:color="auto" w:sz="4" w:space="0"/>
              <w:bottom w:val="single" w:color="auto" w:sz="4" w:space="0"/>
              <w:right w:val="single" w:color="auto" w:sz="4" w:space="0"/>
            </w:tcBorders>
            <w:vAlign w:val="center"/>
          </w:tcPr>
          <w:p w14:paraId="1C52961B">
            <w:pPr>
              <w:pStyle w:val="25"/>
              <w:widowControl w:val="0"/>
              <w:autoSpaceDE/>
              <w:autoSpaceDN/>
              <w:ind w:firstLine="0" w:firstLineChars="0"/>
              <w:jc w:val="center"/>
              <w:rPr>
                <w:rFonts w:hint="eastAsia" w:cs="宋体"/>
                <w:color w:val="000000" w:themeColor="text1"/>
                <w:kern w:val="2"/>
                <w:sz w:val="18"/>
                <w:szCs w:val="18"/>
                <w14:textFill>
                  <w14:solidFill>
                    <w14:schemeClr w14:val="tx1"/>
                  </w14:solidFill>
                </w14:textFill>
              </w:rPr>
            </w:pPr>
            <w:r>
              <w:rPr>
                <w:rFonts w:hint="eastAsia" w:cs="宋体"/>
                <w:color w:val="000000" w:themeColor="text1"/>
                <w:kern w:val="2"/>
                <w:sz w:val="18"/>
                <w:szCs w:val="18"/>
                <w14:textFill>
                  <w14:solidFill>
                    <w14:schemeClr w14:val="tx1"/>
                  </w14:solidFill>
                </w14:textFill>
              </w:rPr>
              <w:t>拖拉机</w:t>
            </w:r>
          </w:p>
        </w:tc>
        <w:tc>
          <w:tcPr>
            <w:tcW w:w="965" w:type="dxa"/>
            <w:tcBorders>
              <w:top w:val="single" w:color="auto" w:sz="12" w:space="0"/>
              <w:left w:val="single" w:color="auto" w:sz="4" w:space="0"/>
              <w:bottom w:val="single" w:color="auto" w:sz="4" w:space="0"/>
              <w:right w:val="single" w:color="auto" w:sz="12" w:space="0"/>
            </w:tcBorders>
            <w:vAlign w:val="center"/>
          </w:tcPr>
          <w:p w14:paraId="27554D3F">
            <w:pPr>
              <w:pStyle w:val="25"/>
              <w:widowControl w:val="0"/>
              <w:autoSpaceDE/>
              <w:autoSpaceDN/>
              <w:ind w:firstLine="0" w:firstLineChars="0"/>
              <w:jc w:val="center"/>
              <w:rPr>
                <w:rFonts w:hint="eastAsia" w:cs="宋体"/>
                <w:color w:val="000000" w:themeColor="text1"/>
                <w:kern w:val="2"/>
                <w:sz w:val="18"/>
                <w:szCs w:val="18"/>
                <w14:textFill>
                  <w14:solidFill>
                    <w14:schemeClr w14:val="tx1"/>
                  </w14:solidFill>
                </w14:textFill>
              </w:rPr>
            </w:pPr>
            <w:r>
              <w:rPr>
                <w:rFonts w:hint="eastAsia" w:cs="宋体"/>
                <w:color w:val="000000" w:themeColor="text1"/>
                <w:kern w:val="2"/>
                <w:sz w:val="18"/>
                <w:szCs w:val="18"/>
                <w14:textFill>
                  <w14:solidFill>
                    <w14:schemeClr w14:val="tx1"/>
                  </w14:solidFill>
                </w14:textFill>
              </w:rPr>
              <w:t>自走式植保机械</w:t>
            </w:r>
          </w:p>
        </w:tc>
      </w:tr>
      <w:tr w14:paraId="190DE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 w:type="dxa"/>
            <w:tcBorders>
              <w:top w:val="single" w:color="auto" w:sz="4" w:space="0"/>
              <w:left w:val="single" w:color="auto" w:sz="12" w:space="0"/>
              <w:bottom w:val="single" w:color="auto" w:sz="12" w:space="0"/>
              <w:right w:val="single" w:color="auto" w:sz="4" w:space="0"/>
            </w:tcBorders>
            <w:vAlign w:val="center"/>
          </w:tcPr>
          <w:p w14:paraId="0D0DAAE8">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sz w:val="18"/>
                <w:szCs w:val="18"/>
                <w:lang w:bidi="ar"/>
                <w14:textFill>
                  <w14:solidFill>
                    <w14:schemeClr w14:val="tx1"/>
                  </w14:solidFill>
                </w14:textFill>
              </w:rPr>
              <w:t>参照标准</w:t>
            </w:r>
          </w:p>
        </w:tc>
        <w:tc>
          <w:tcPr>
            <w:tcW w:w="1048" w:type="dxa"/>
            <w:tcBorders>
              <w:top w:val="single" w:color="auto" w:sz="4" w:space="0"/>
              <w:left w:val="single" w:color="auto" w:sz="4" w:space="0"/>
              <w:bottom w:val="single" w:color="auto" w:sz="12" w:space="0"/>
              <w:right w:val="single" w:color="auto" w:sz="4" w:space="0"/>
            </w:tcBorders>
            <w:vAlign w:val="center"/>
          </w:tcPr>
          <w:p w14:paraId="60623137">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0141—2022</w:t>
            </w:r>
          </w:p>
        </w:tc>
        <w:tc>
          <w:tcPr>
            <w:tcW w:w="1049" w:type="dxa"/>
            <w:tcBorders>
              <w:top w:val="single" w:color="auto" w:sz="4" w:space="0"/>
              <w:left w:val="single" w:color="auto" w:sz="4" w:space="0"/>
              <w:bottom w:val="single" w:color="auto" w:sz="12" w:space="0"/>
              <w:right w:val="single" w:color="auto" w:sz="4" w:space="0"/>
            </w:tcBorders>
            <w:vAlign w:val="center"/>
          </w:tcPr>
          <w:p w14:paraId="3206E7E5">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0142—2022</w:t>
            </w:r>
          </w:p>
        </w:tc>
        <w:tc>
          <w:tcPr>
            <w:tcW w:w="1049" w:type="dxa"/>
            <w:tcBorders>
              <w:top w:val="single" w:color="auto" w:sz="4" w:space="0"/>
              <w:left w:val="single" w:color="auto" w:sz="4" w:space="0"/>
              <w:bottom w:val="single" w:color="auto" w:sz="12" w:space="0"/>
              <w:right w:val="single" w:color="auto" w:sz="4" w:space="0"/>
            </w:tcBorders>
            <w:vAlign w:val="center"/>
          </w:tcPr>
          <w:p w14:paraId="4DFAF8A8">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0183—2024</w:t>
            </w:r>
          </w:p>
        </w:tc>
        <w:tc>
          <w:tcPr>
            <w:tcW w:w="1049" w:type="dxa"/>
            <w:tcBorders>
              <w:top w:val="single" w:color="auto" w:sz="4" w:space="0"/>
              <w:left w:val="single" w:color="auto" w:sz="4" w:space="0"/>
              <w:bottom w:val="single" w:color="auto" w:sz="12" w:space="0"/>
              <w:right w:val="single" w:color="auto" w:sz="4" w:space="0"/>
            </w:tcBorders>
            <w:vAlign w:val="center"/>
          </w:tcPr>
          <w:p w14:paraId="30223546">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0184—2024</w:t>
            </w:r>
          </w:p>
        </w:tc>
        <w:tc>
          <w:tcPr>
            <w:tcW w:w="1049" w:type="dxa"/>
            <w:tcBorders>
              <w:top w:val="single" w:color="auto" w:sz="4" w:space="0"/>
              <w:left w:val="single" w:color="auto" w:sz="4" w:space="0"/>
              <w:bottom w:val="single" w:color="auto" w:sz="12" w:space="0"/>
              <w:right w:val="single" w:color="auto" w:sz="4" w:space="0"/>
            </w:tcBorders>
            <w:vAlign w:val="center"/>
          </w:tcPr>
          <w:p w14:paraId="2B629C04">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0185—2024</w:t>
            </w:r>
          </w:p>
        </w:tc>
        <w:tc>
          <w:tcPr>
            <w:tcW w:w="1049" w:type="dxa"/>
            <w:tcBorders>
              <w:top w:val="single" w:color="auto" w:sz="4" w:space="0"/>
              <w:left w:val="single" w:color="auto" w:sz="4" w:space="0"/>
              <w:bottom w:val="single" w:color="auto" w:sz="12" w:space="0"/>
              <w:right w:val="single" w:color="auto" w:sz="4" w:space="0"/>
            </w:tcBorders>
            <w:vAlign w:val="center"/>
          </w:tcPr>
          <w:p w14:paraId="01081A47">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T/CCMA 0186—2024</w:t>
            </w:r>
          </w:p>
        </w:tc>
        <w:tc>
          <w:tcPr>
            <w:tcW w:w="965" w:type="dxa"/>
            <w:tcBorders>
              <w:top w:val="single" w:color="auto" w:sz="4" w:space="0"/>
              <w:left w:val="single" w:color="auto" w:sz="4" w:space="0"/>
              <w:bottom w:val="single" w:color="auto" w:sz="12" w:space="0"/>
              <w:right w:val="single" w:color="auto" w:sz="4" w:space="0"/>
            </w:tcBorders>
            <w:vAlign w:val="center"/>
          </w:tcPr>
          <w:p w14:paraId="2EE4BA96">
            <w:pPr>
              <w:pStyle w:val="25"/>
              <w:widowControl w:val="0"/>
              <w:autoSpaceDE/>
              <w:autoSpaceDN/>
              <w:ind w:firstLine="0" w:firstLineChars="0"/>
              <w:jc w:val="center"/>
              <w:rPr>
                <w:rFonts w:hint="eastAsia" w:cs="宋体"/>
                <w:color w:val="000000" w:themeColor="text1"/>
                <w:sz w:val="18"/>
                <w:szCs w:val="18"/>
                <w:lang w:bidi="ar"/>
                <w14:textFill>
                  <w14:solidFill>
                    <w14:schemeClr w14:val="tx1"/>
                  </w14:solidFill>
                </w14:textFill>
              </w:rPr>
            </w:pPr>
            <w:r>
              <w:rPr>
                <w:rFonts w:hint="eastAsia" w:cs="宋体"/>
                <w:color w:val="000000" w:themeColor="text1"/>
                <w:kern w:val="2"/>
                <w:sz w:val="18"/>
                <w:szCs w:val="18"/>
                <w14:textFill>
                  <w14:solidFill>
                    <w14:schemeClr w14:val="tx1"/>
                  </w14:solidFill>
                </w14:textFill>
              </w:rPr>
              <w:t>T/CAAMM 302—2023</w:t>
            </w:r>
          </w:p>
        </w:tc>
        <w:tc>
          <w:tcPr>
            <w:tcW w:w="965" w:type="dxa"/>
            <w:tcBorders>
              <w:top w:val="single" w:color="auto" w:sz="4" w:space="0"/>
              <w:left w:val="single" w:color="auto" w:sz="4" w:space="0"/>
              <w:bottom w:val="single" w:color="auto" w:sz="12" w:space="0"/>
              <w:right w:val="single" w:color="auto" w:sz="4" w:space="0"/>
            </w:tcBorders>
            <w:vAlign w:val="center"/>
          </w:tcPr>
          <w:p w14:paraId="17D6C717">
            <w:pPr>
              <w:pStyle w:val="25"/>
              <w:widowControl w:val="0"/>
              <w:autoSpaceDE/>
              <w:autoSpaceDN/>
              <w:ind w:firstLine="0" w:firstLineChars="0"/>
              <w:jc w:val="center"/>
              <w:rPr>
                <w:rFonts w:hint="eastAsia" w:cs="宋体"/>
                <w:color w:val="000000" w:themeColor="text1"/>
                <w:kern w:val="2"/>
                <w:sz w:val="18"/>
                <w:szCs w:val="18"/>
                <w14:textFill>
                  <w14:solidFill>
                    <w14:schemeClr w14:val="tx1"/>
                  </w14:solidFill>
                </w14:textFill>
              </w:rPr>
            </w:pPr>
            <w:r>
              <w:rPr>
                <w:rFonts w:hint="eastAsia" w:cs="宋体"/>
                <w:color w:val="000000" w:themeColor="text1"/>
                <w:kern w:val="2"/>
                <w:sz w:val="18"/>
                <w:szCs w:val="18"/>
                <w14:textFill>
                  <w14:solidFill>
                    <w14:schemeClr w14:val="tx1"/>
                  </w14:solidFill>
                </w14:textFill>
              </w:rPr>
              <w:t>T/CAAMM 336—2024</w:t>
            </w:r>
          </w:p>
        </w:tc>
        <w:tc>
          <w:tcPr>
            <w:tcW w:w="965" w:type="dxa"/>
            <w:tcBorders>
              <w:top w:val="single" w:color="auto" w:sz="4" w:space="0"/>
              <w:left w:val="single" w:color="auto" w:sz="4" w:space="0"/>
              <w:bottom w:val="single" w:color="auto" w:sz="12" w:space="0"/>
              <w:right w:val="single" w:color="auto" w:sz="12" w:space="0"/>
            </w:tcBorders>
            <w:vAlign w:val="center"/>
          </w:tcPr>
          <w:p w14:paraId="25A07DFC">
            <w:pPr>
              <w:pStyle w:val="25"/>
              <w:widowControl w:val="0"/>
              <w:autoSpaceDE/>
              <w:autoSpaceDN/>
              <w:ind w:firstLine="0" w:firstLineChars="0"/>
              <w:jc w:val="center"/>
              <w:rPr>
                <w:rFonts w:hint="eastAsia" w:cs="宋体"/>
                <w:color w:val="000000" w:themeColor="text1"/>
                <w:kern w:val="2"/>
                <w:sz w:val="18"/>
                <w:szCs w:val="18"/>
                <w14:textFill>
                  <w14:solidFill>
                    <w14:schemeClr w14:val="tx1"/>
                  </w14:solidFill>
                </w14:textFill>
              </w:rPr>
            </w:pPr>
            <w:r>
              <w:rPr>
                <w:rFonts w:hint="eastAsia" w:cs="宋体"/>
                <w:color w:val="000000" w:themeColor="text1"/>
                <w:kern w:val="2"/>
                <w:sz w:val="18"/>
                <w:szCs w:val="18"/>
                <w14:textFill>
                  <w14:solidFill>
                    <w14:schemeClr w14:val="tx1"/>
                  </w14:solidFill>
                </w14:textFill>
              </w:rPr>
              <w:t>T/CAAMM 337—2024</w:t>
            </w:r>
          </w:p>
        </w:tc>
      </w:tr>
    </w:tbl>
    <w:p w14:paraId="454AFCEC">
      <w:pPr>
        <w:pStyle w:val="38"/>
        <w:rPr>
          <w:rFonts w:hint="eastAsia"/>
        </w:rPr>
      </w:pPr>
      <w:bookmarkStart w:id="20" w:name="_Toc31675"/>
      <w:r>
        <w:rPr>
          <w:rFonts w:hint="eastAsia"/>
        </w:rPr>
        <w:t>4.5　PEMS设备安装</w:t>
      </w:r>
      <w:bookmarkEnd w:id="20"/>
    </w:p>
    <w:p w14:paraId="68D5D358">
      <w:pPr>
        <w:spacing w:before="156" w:beforeLines="50" w:after="156" w:afterLines="50"/>
        <w:rPr>
          <w:rFonts w:hint="eastAsia"/>
        </w:rPr>
      </w:pPr>
      <w:r>
        <w:rPr>
          <w:rFonts w:hint="eastAsia"/>
        </w:rPr>
        <w:t>4.5.1　PEMS设备应安装在受热源影响较小的位置，若无法避开热源时，设备下端及后端应加装隔热棉及保证通风顺畅；PEMS设备应安装在受振动较小的位置；PEMS设备固定在机械上时，若设备较高应拆分设备模块。</w:t>
      </w:r>
    </w:p>
    <w:p w14:paraId="6E19C4D0">
      <w:pPr>
        <w:spacing w:before="156" w:beforeLines="50" w:after="156" w:afterLines="50"/>
        <w:rPr>
          <w:rFonts w:ascii="Times New Roman" w:hAnsi="Times New Roman" w:cs="Times New Roman"/>
          <w:kern w:val="0"/>
          <w:szCs w:val="21"/>
          <w:lang w:bidi="ar"/>
        </w:rPr>
      </w:pPr>
      <w:r>
        <w:rPr>
          <w:rFonts w:hint="eastAsia"/>
        </w:rPr>
        <w:t>4.5.2　</w:t>
      </w:r>
      <w:r>
        <w:rPr>
          <w:rFonts w:hint="eastAsia" w:ascii="Times New Roman" w:hAnsi="Times New Roman" w:cs="Times New Roman"/>
          <w:kern w:val="0"/>
          <w:szCs w:val="21"/>
          <w:lang w:bidi="ar"/>
        </w:rPr>
        <w:t>排气流量计与测试机械排气管连接时，在条件允许下应采用硬管刚性连接；若条件不允许则使用耐温胶管进行</w:t>
      </w:r>
      <w:r>
        <w:rPr>
          <w:rFonts w:ascii="Times New Roman" w:hAnsi="Times New Roman" w:cs="Times New Roman"/>
          <w:kern w:val="0"/>
          <w:szCs w:val="21"/>
          <w:lang w:bidi="ar"/>
        </w:rPr>
        <w:t>柔性连接</w:t>
      </w:r>
      <w:r>
        <w:rPr>
          <w:rFonts w:hint="eastAsia" w:ascii="Times New Roman" w:hAnsi="Times New Roman" w:cs="Times New Roman"/>
          <w:kern w:val="0"/>
          <w:szCs w:val="21"/>
          <w:lang w:bidi="ar"/>
        </w:rPr>
        <w:t>，连接处应</w:t>
      </w:r>
      <w:r>
        <w:rPr>
          <w:rFonts w:ascii="Times New Roman" w:hAnsi="Times New Roman" w:cs="Times New Roman"/>
          <w:kern w:val="0"/>
          <w:szCs w:val="21"/>
          <w:lang w:bidi="ar"/>
        </w:rPr>
        <w:t>采用双级卡箍加强紧固</w:t>
      </w:r>
      <w:r>
        <w:rPr>
          <w:rFonts w:hint="eastAsia" w:ascii="Times New Roman" w:hAnsi="Times New Roman" w:cs="Times New Roman"/>
          <w:kern w:val="0"/>
          <w:szCs w:val="21"/>
          <w:lang w:bidi="ar"/>
        </w:rPr>
        <w:t>，应尽可能</w:t>
      </w:r>
      <w:r>
        <w:rPr>
          <w:rFonts w:ascii="Times New Roman" w:hAnsi="Times New Roman" w:cs="Times New Roman"/>
          <w:kern w:val="0"/>
          <w:szCs w:val="21"/>
          <w:lang w:bidi="ar"/>
        </w:rPr>
        <w:t>减少排气与柔性连接器接触面积</w:t>
      </w:r>
      <w:r>
        <w:rPr>
          <w:rFonts w:hint="eastAsia" w:ascii="Times New Roman" w:hAnsi="Times New Roman" w:cs="Times New Roman"/>
          <w:kern w:val="0"/>
          <w:szCs w:val="21"/>
          <w:lang w:bidi="ar"/>
        </w:rPr>
        <w:t>。</w:t>
      </w:r>
    </w:p>
    <w:p w14:paraId="6DA04457">
      <w:pPr>
        <w:pStyle w:val="39"/>
        <w:rPr>
          <w:rFonts w:hint="eastAsia"/>
        </w:rPr>
      </w:pPr>
      <w:bookmarkStart w:id="21" w:name="_Toc18768"/>
      <w:r>
        <w:rPr>
          <w:rFonts w:hint="eastAsia"/>
        </w:rPr>
        <w:t>5　</w:t>
      </w:r>
      <w:r>
        <w:rPr>
          <w:rFonts w:hint="eastAsia" w:cs="黑体"/>
          <w:kern w:val="2"/>
          <w:szCs w:val="21"/>
        </w:rPr>
        <w:t>排气污染物车载法试验</w:t>
      </w:r>
      <w:bookmarkEnd w:id="21"/>
    </w:p>
    <w:p w14:paraId="386AA349">
      <w:pPr>
        <w:pStyle w:val="38"/>
        <w:rPr>
          <w:rFonts w:hint="eastAsia"/>
        </w:rPr>
      </w:pPr>
      <w:bookmarkStart w:id="22" w:name="_Toc12731"/>
      <w:r>
        <w:rPr>
          <w:rFonts w:hint="eastAsia"/>
        </w:rPr>
        <w:t>5.1　</w:t>
      </w:r>
      <w:r>
        <w:rPr>
          <w:rFonts w:hint="eastAsia" w:cs="黑体"/>
          <w:kern w:val="2"/>
        </w:rPr>
        <w:t>测试准备</w:t>
      </w:r>
      <w:bookmarkEnd w:id="22"/>
    </w:p>
    <w:p w14:paraId="6E06EDBA">
      <w:pPr>
        <w:pStyle w:val="25"/>
        <w:ind w:firstLine="420"/>
        <w:rPr>
          <w:rFonts w:hint="eastAsia"/>
        </w:rPr>
      </w:pPr>
      <w:r>
        <w:rPr>
          <w:rFonts w:hint="eastAsia" w:cs="宋体"/>
          <w:szCs w:val="21"/>
          <w:lang w:bidi="ar"/>
        </w:rPr>
        <w:t>PEMS应按照操作要求进行预热和固定，使PEMS的压力、温度和流量达到设备要求。</w:t>
      </w:r>
    </w:p>
    <w:p w14:paraId="1ADAD9FB">
      <w:pPr>
        <w:pStyle w:val="38"/>
        <w:rPr>
          <w:rFonts w:hint="eastAsia"/>
        </w:rPr>
      </w:pPr>
      <w:bookmarkStart w:id="23" w:name="_Toc24233"/>
      <w:r>
        <w:rPr>
          <w:rFonts w:hint="eastAsia"/>
        </w:rPr>
        <w:t>5.2　测试开始</w:t>
      </w:r>
      <w:bookmarkEnd w:id="23"/>
    </w:p>
    <w:p w14:paraId="58E92AC1">
      <w:pPr>
        <w:pStyle w:val="25"/>
        <w:ind w:firstLine="420"/>
        <w:rPr>
          <w:rFonts w:hint="eastAsia"/>
        </w:rPr>
      </w:pPr>
      <w:r>
        <w:rPr>
          <w:rFonts w:hint="eastAsia" w:cs="宋体"/>
          <w:color w:val="000000" w:themeColor="text1"/>
          <w:szCs w:val="21"/>
          <w:lang w:bidi="ar"/>
          <w14:textFill>
            <w14:solidFill>
              <w14:schemeClr w14:val="tx1"/>
            </w14:solidFill>
          </w14:textFill>
        </w:rPr>
        <w:t>应在机械启动前开始PEMS采样，测量排气参数并记录柴油机及环境参数。当柴油机的冷却液温度在70 ℃以上，或者当冷却液的温度在5 min之内的变化小于2 ℃时，以先到为准，但是不能晚于柴油机启动后20 min，测试数据开始用于排放达标与否的判定。</w:t>
      </w:r>
    </w:p>
    <w:p w14:paraId="041A0D47">
      <w:pPr>
        <w:pStyle w:val="38"/>
        <w:rPr>
          <w:rFonts w:hint="eastAsia"/>
        </w:rPr>
      </w:pPr>
      <w:bookmarkStart w:id="24" w:name="_Toc22592"/>
      <w:r>
        <w:rPr>
          <w:rFonts w:hint="eastAsia"/>
        </w:rPr>
        <w:t>5.3　测试运行</w:t>
      </w:r>
      <w:bookmarkEnd w:id="24"/>
    </w:p>
    <w:p w14:paraId="767C0421">
      <w:pPr>
        <w:pStyle w:val="25"/>
        <w:ind w:firstLine="420"/>
        <w:rPr>
          <w:rFonts w:hint="eastAsia" w:cs="宋体"/>
        </w:rPr>
      </w:pPr>
      <w:r>
        <w:rPr>
          <w:rFonts w:hint="eastAsia" w:cs="宋体"/>
          <w:szCs w:val="21"/>
          <w:lang w:bidi="ar"/>
        </w:rPr>
        <w:t>按照4.4规定的测试方法进行测试。测试时，所有组分的样气可用一个取样探头取样，注意不能让排气成分（包括水汽等）在分析系统的样气通路中产生冷凝。所有仪器检查和标定工作完成后，机械继续正常行驶并进行数据收集</w:t>
      </w:r>
      <w:r>
        <w:rPr>
          <w:rFonts w:hint="eastAsia" w:cs="宋体"/>
          <w:szCs w:val="21"/>
        </w:rPr>
        <w:t>。</w:t>
      </w:r>
    </w:p>
    <w:p w14:paraId="0EB74DB1">
      <w:pPr>
        <w:pStyle w:val="38"/>
        <w:rPr>
          <w:rFonts w:hint="eastAsia"/>
        </w:rPr>
      </w:pPr>
      <w:bookmarkStart w:id="25" w:name="_Toc4490"/>
      <w:r>
        <w:rPr>
          <w:rFonts w:hint="eastAsia"/>
        </w:rPr>
        <w:t>5.4　测试结束</w:t>
      </w:r>
      <w:bookmarkEnd w:id="25"/>
    </w:p>
    <w:p w14:paraId="292C41C4">
      <w:pPr>
        <w:widowControl/>
        <w:ind w:firstLine="420" w:firstLineChars="200"/>
        <w:jc w:val="left"/>
        <w:rPr>
          <w:rFonts w:hint="eastAsia" w:cs="宋体"/>
          <w:kern w:val="0"/>
          <w:szCs w:val="21"/>
          <w:lang w:bidi="ar"/>
        </w:rPr>
      </w:pPr>
      <w:r>
        <w:rPr>
          <w:rFonts w:hint="eastAsia" w:cs="宋体"/>
          <w:kern w:val="0"/>
          <w:szCs w:val="21"/>
          <w:lang w:bidi="ar"/>
        </w:rPr>
        <w:t>包含所有操作过程且仅包含有效数据的试验持续时间应足够长，当测试机械的累积功达到柴油机相应高原测试海拔（±100 m）NRTC循环功的5—7倍或测试时间达到2 h，测试终止。</w:t>
      </w:r>
    </w:p>
    <w:p w14:paraId="21E3B41A">
      <w:pPr>
        <w:pStyle w:val="38"/>
        <w:rPr>
          <w:rFonts w:hint="eastAsia"/>
        </w:rPr>
      </w:pPr>
      <w:bookmarkStart w:id="26" w:name="_Toc15852"/>
      <w:r>
        <w:rPr>
          <w:rFonts w:hint="eastAsia"/>
        </w:rPr>
        <w:t>5.5　数据处理</w:t>
      </w:r>
      <w:bookmarkEnd w:id="26"/>
    </w:p>
    <w:p w14:paraId="37811041">
      <w:pPr>
        <w:pStyle w:val="40"/>
        <w:rPr>
          <w:rFonts w:hint="eastAsia"/>
        </w:rPr>
      </w:pPr>
      <w:bookmarkStart w:id="27" w:name="_Toc4278"/>
      <w:r>
        <w:rPr>
          <w:rFonts w:hint="eastAsia"/>
        </w:rPr>
        <w:t>5.5.1　有效数据判定</w:t>
      </w:r>
      <w:bookmarkEnd w:id="27"/>
    </w:p>
    <w:p w14:paraId="6D595A0A">
      <w:pPr>
        <w:widowControl/>
        <w:ind w:firstLine="420" w:firstLineChars="200"/>
        <w:jc w:val="left"/>
        <w:rPr>
          <w:rFonts w:hint="eastAsia"/>
        </w:rPr>
      </w:pPr>
      <w:r>
        <w:rPr>
          <w:rFonts w:hint="eastAsia" w:cs="宋体"/>
          <w:kern w:val="0"/>
          <w:szCs w:val="21"/>
          <w:lang w:bidi="ar"/>
        </w:rPr>
        <w:t>按HJ 1014—2020中E.4.1.4的规定，进行有效数据的判定。</w:t>
      </w:r>
    </w:p>
    <w:p w14:paraId="17E015F7">
      <w:pPr>
        <w:pStyle w:val="40"/>
        <w:rPr>
          <w:rFonts w:hint="eastAsia"/>
        </w:rPr>
      </w:pPr>
      <w:bookmarkStart w:id="28" w:name="_Toc11898"/>
      <w:r>
        <w:rPr>
          <w:rFonts w:hint="eastAsia"/>
        </w:rPr>
        <w:t>5.5.2　排放试验结果计算</w:t>
      </w:r>
      <w:bookmarkEnd w:id="28"/>
    </w:p>
    <w:p w14:paraId="0AB7609A">
      <w:pPr>
        <w:widowControl/>
        <w:ind w:firstLine="420" w:firstLineChars="200"/>
        <w:rPr>
          <w:rFonts w:hint="eastAsia" w:cs="宋体"/>
          <w:kern w:val="0"/>
          <w:szCs w:val="21"/>
          <w:lang w:bidi="ar"/>
        </w:rPr>
      </w:pPr>
      <w:r>
        <w:rPr>
          <w:rFonts w:hint="eastAsia" w:cs="宋体"/>
          <w:kern w:val="0"/>
          <w:szCs w:val="21"/>
          <w:lang w:bidi="ar"/>
        </w:rPr>
        <w:t>若企业能够提供柴油机相应高原测试海拔（±100 m）的NRTC循环功时，则根据HJ 1014</w:t>
      </w:r>
      <w:r>
        <w:rPr>
          <w:rFonts w:hint="eastAsia" w:cs="宋体"/>
          <w:szCs w:val="21"/>
        </w:rPr>
        <w:t>—2020中</w:t>
      </w:r>
      <w:r>
        <w:rPr>
          <w:rFonts w:hint="eastAsia" w:cs="宋体"/>
          <w:kern w:val="0"/>
          <w:szCs w:val="21"/>
          <w:lang w:bidi="ar"/>
        </w:rPr>
        <w:t>E.4.3功基窗口法进行排放试验结果计算。若企业无法提供柴油机相应高原测试海拔（±100 m）的NRTC循环功时，则进行相应高原测试海拔的NRTC循环试验或根据5.5.3规定的高原NRTC循环功衰减系数确定相应高原测试海拔的NRTC循环功，最后再根据HJ 1014</w:t>
      </w:r>
      <w:r>
        <w:rPr>
          <w:rFonts w:hint="eastAsia" w:cs="宋体"/>
          <w:szCs w:val="21"/>
        </w:rPr>
        <w:t>—2020中</w:t>
      </w:r>
      <w:r>
        <w:rPr>
          <w:rFonts w:hint="eastAsia" w:cs="宋体"/>
          <w:kern w:val="0"/>
          <w:szCs w:val="21"/>
          <w:lang w:bidi="ar"/>
        </w:rPr>
        <w:t>E.4.3功基窗口法进行排放试验结果计算。</w:t>
      </w:r>
    </w:p>
    <w:p w14:paraId="3801AC71">
      <w:pPr>
        <w:pStyle w:val="40"/>
        <w:rPr>
          <w:rFonts w:hint="eastAsia"/>
        </w:rPr>
      </w:pPr>
      <w:bookmarkStart w:id="29" w:name="_Toc30964"/>
      <w:r>
        <w:rPr>
          <w:rFonts w:hint="eastAsia"/>
        </w:rPr>
        <w:t>5.5.3　柴油机相应高原测试海拔NRTC循环功的计算</w:t>
      </w:r>
      <w:bookmarkEnd w:id="29"/>
    </w:p>
    <w:p w14:paraId="3341433E">
      <w:pPr>
        <w:widowControl/>
        <w:ind w:firstLine="420" w:firstLineChars="200"/>
        <w:jc w:val="left"/>
        <w:rPr>
          <w:rFonts w:hint="eastAsia" w:cs="宋体"/>
          <w:color w:val="000000" w:themeColor="text1"/>
          <w:kern w:val="0"/>
          <w:szCs w:val="21"/>
          <w:lang w:bidi="ar"/>
          <w14:textFill>
            <w14:solidFill>
              <w14:schemeClr w14:val="tx1"/>
            </w14:solidFill>
          </w14:textFill>
        </w:rPr>
      </w:pPr>
      <w:r>
        <w:rPr>
          <w:rFonts w:hint="eastAsia" w:cs="宋体"/>
          <w:color w:val="000000" w:themeColor="text1"/>
          <w:kern w:val="0"/>
          <w:szCs w:val="21"/>
          <w:lang w:bidi="ar"/>
          <w14:textFill>
            <w14:solidFill>
              <w14:schemeClr w14:val="tx1"/>
            </w14:solidFill>
          </w14:textFill>
        </w:rPr>
        <w:t>基于柴油机高原NRTC循环功衰减系数和柴油机平原NRTC循环功，计算柴油机相应高原测试海拔NRTC循环功，其计算公式为：</w:t>
      </w:r>
    </w:p>
    <w:p w14:paraId="69BD7358">
      <w:pPr>
        <w:keepNext w:val="0"/>
        <w:keepLines w:val="0"/>
        <w:pageBreakBefore w:val="0"/>
        <w:widowControl/>
        <w:tabs>
          <w:tab w:val="center" w:pos="4677"/>
          <w:tab w:val="right" w:leader="dot" w:pos="9354"/>
        </w:tabs>
        <w:kinsoku/>
        <w:wordWrap/>
        <w:overflowPunct/>
        <w:topLinePunct w:val="0"/>
        <w:autoSpaceDE/>
        <w:autoSpaceDN/>
        <w:bidi w:val="0"/>
        <w:adjustRightInd/>
        <w:snapToGrid/>
        <w:textAlignment w:val="auto"/>
        <w:rPr>
          <w:rFonts w:hint="eastAsia" w:cs="宋体"/>
          <w:color w:val="000000" w:themeColor="text1"/>
          <w:kern w:val="0"/>
          <w:position w:val="-14"/>
          <w:szCs w:val="21"/>
          <w:lang w:bidi="ar"/>
          <w14:textFill>
            <w14:solidFill>
              <w14:schemeClr w14:val="tx1"/>
            </w14:solidFill>
          </w14:textFill>
        </w:rPr>
      </w:pPr>
      <w:r>
        <w:rPr>
          <w:rFonts w:hint="eastAsia" w:cs="宋体"/>
          <w:color w:val="000000" w:themeColor="text1"/>
          <w:kern w:val="0"/>
          <w:position w:val="-14"/>
          <w:szCs w:val="21"/>
          <w:lang w:bidi="ar"/>
          <w14:textFill>
            <w14:solidFill>
              <w14:schemeClr w14:val="tx1"/>
            </w14:solidFill>
          </w14:textFill>
        </w:rPr>
        <w:tab/>
      </w:r>
      <w:r>
        <w:rPr>
          <w:rFonts w:hint="eastAsia" w:cs="宋体"/>
          <w:color w:val="000000" w:themeColor="text1"/>
          <w:kern w:val="0"/>
          <w:position w:val="-14"/>
          <w:szCs w:val="21"/>
          <w:lang w:bidi="ar"/>
          <w14:textFill>
            <w14:solidFill>
              <w14:schemeClr w14:val="tx1"/>
            </w14:solidFill>
          </w14:textFill>
        </w:rPr>
        <w:object>
          <v:shape id="_x0000_i1025" o:spt="75" type="#_x0000_t75" style="height:20pt;width:82pt;" o:ole="t" filled="f" o:preferrelative="t" stroked="f" coordsize="21600,21600">
            <v:path/>
            <v:fill on="f" focussize="0,0"/>
            <v:stroke on="f" joinstyle="miter"/>
            <v:imagedata r:id="rId30" o:title=""/>
            <o:lock v:ext="edit" aspectratio="t"/>
            <w10:wrap type="none"/>
            <w10:anchorlock/>
          </v:shape>
          <o:OLEObject Type="Embed" ProgID="Equation.KSEE3" ShapeID="_x0000_i1025" DrawAspect="Content" ObjectID="_1468075725" r:id="rId29">
            <o:LockedField>false</o:LockedField>
          </o:OLEObject>
        </w:object>
      </w:r>
      <w:r>
        <w:rPr>
          <w:rFonts w:hint="eastAsia" w:cs="宋体"/>
          <w:color w:val="000000" w:themeColor="text1"/>
          <w:kern w:val="0"/>
          <w:position w:val="-14"/>
          <w:szCs w:val="21"/>
          <w:lang w:bidi="ar"/>
          <w14:textFill>
            <w14:solidFill>
              <w14:schemeClr w14:val="tx1"/>
            </w14:solidFill>
          </w14:textFill>
        </w:rPr>
        <w:tab/>
      </w:r>
      <w:r>
        <w:rPr>
          <w:rFonts w:hint="eastAsia" w:cs="宋体"/>
          <w:color w:val="000000" w:themeColor="text1"/>
          <w:kern w:val="0"/>
          <w:position w:val="-14"/>
          <w:szCs w:val="21"/>
          <w:lang w:bidi="ar"/>
          <w14:textFill>
            <w14:solidFill>
              <w14:schemeClr w14:val="tx1"/>
            </w14:solidFill>
          </w14:textFill>
        </w:rPr>
        <w:t>（1）</w:t>
      </w:r>
    </w:p>
    <w:p w14:paraId="23FEDE4C">
      <w:pPr>
        <w:pStyle w:val="2"/>
        <w:keepNext w:val="0"/>
        <w:keepLines w:val="0"/>
        <w:pageBreakBefore w:val="0"/>
        <w:widowControl w:val="0"/>
        <w:tabs>
          <w:tab w:val="center" w:pos="4677"/>
          <w:tab w:val="right" w:leader="dot" w:pos="9354"/>
        </w:tabs>
        <w:kinsoku/>
        <w:wordWrap/>
        <w:overflowPunct/>
        <w:topLinePunct w:val="0"/>
        <w:autoSpaceDE/>
        <w:autoSpaceDN/>
        <w:bidi w:val="0"/>
        <w:adjustRightInd/>
        <w:snapToGrid/>
        <w:textAlignment w:val="auto"/>
        <w:rPr>
          <w:rFonts w:hint="eastAsia" w:cs="宋体"/>
          <w:color w:val="000000" w:themeColor="text1"/>
          <w14:textFill>
            <w14:solidFill>
              <w14:schemeClr w14:val="tx1"/>
            </w14:solidFill>
          </w14:textFill>
        </w:rPr>
      </w:pPr>
      <w:r>
        <w:rPr>
          <w:rFonts w:hint="eastAsia" w:cs="宋体"/>
          <w:color w:val="000000" w:themeColor="text1"/>
          <w:kern w:val="0"/>
          <w:position w:val="-10"/>
          <w:szCs w:val="21"/>
          <w:lang w:bidi="ar"/>
          <w14:textFill>
            <w14:solidFill>
              <w14:schemeClr w14:val="tx1"/>
            </w14:solidFill>
          </w14:textFill>
        </w:rPr>
        <w:tab/>
      </w:r>
      <w:r>
        <w:rPr>
          <w:rFonts w:hint="eastAsia" w:cs="宋体"/>
          <w:color w:val="000000" w:themeColor="text1"/>
          <w:kern w:val="0"/>
          <w:position w:val="-10"/>
          <w:szCs w:val="21"/>
          <w:lang w:bidi="ar"/>
          <w14:textFill>
            <w14:solidFill>
              <w14:schemeClr w14:val="tx1"/>
            </w14:solidFill>
          </w14:textFill>
        </w:rPr>
        <w:object>
          <v:shape id="_x0000_i1026" o:spt="75" type="#_x0000_t75" style="height:16pt;width:128pt;" o:ole="t" filled="f" o:preferrelative="t" stroked="f" coordsize="21600,21600">
            <v:path/>
            <v:fill on="f" focussize="0,0"/>
            <v:stroke on="f" joinstyle="miter"/>
            <v:imagedata r:id="rId32" o:title=""/>
            <o:lock v:ext="edit" aspectratio="t"/>
            <w10:wrap type="none"/>
            <w10:anchorlock/>
          </v:shape>
          <o:OLEObject Type="Embed" ProgID="Equation.KSEE3" ShapeID="_x0000_i1026" DrawAspect="Content" ObjectID="_1468075726" r:id="rId31">
            <o:LockedField>false</o:LockedField>
          </o:OLEObject>
        </w:object>
      </w:r>
      <w:r>
        <w:rPr>
          <w:rFonts w:hint="eastAsia" w:cs="宋体"/>
          <w:color w:val="000000" w:themeColor="text1"/>
          <w:kern w:val="0"/>
          <w:position w:val="-10"/>
          <w:szCs w:val="21"/>
          <w:lang w:bidi="ar"/>
          <w14:textFill>
            <w14:solidFill>
              <w14:schemeClr w14:val="tx1"/>
            </w14:solidFill>
          </w14:textFill>
        </w:rPr>
        <w:tab/>
      </w:r>
      <w:r>
        <w:rPr>
          <w:rFonts w:hint="eastAsia" w:cs="宋体"/>
          <w:color w:val="000000" w:themeColor="text1"/>
          <w:kern w:val="0"/>
          <w:position w:val="-10"/>
          <w:szCs w:val="21"/>
          <w:lang w:bidi="ar"/>
          <w14:textFill>
            <w14:solidFill>
              <w14:schemeClr w14:val="tx1"/>
            </w14:solidFill>
          </w14:textFill>
        </w:rPr>
        <w:t>（2）</w:t>
      </w:r>
    </w:p>
    <w:p w14:paraId="03A2CF99">
      <w:pPr>
        <w:pStyle w:val="2"/>
        <w:ind w:firstLine="420" w:firstLineChars="200"/>
        <w:rPr>
          <w:rFonts w:hint="eastAsia" w:cs="宋体"/>
          <w:color w:val="000000" w:themeColor="text1"/>
          <w:kern w:val="0"/>
          <w:szCs w:val="21"/>
          <w:lang w:bidi="ar"/>
          <w14:textFill>
            <w14:solidFill>
              <w14:schemeClr w14:val="tx1"/>
            </w14:solidFill>
          </w14:textFill>
        </w:rPr>
      </w:pPr>
      <w:r>
        <w:rPr>
          <w:rFonts w:hint="eastAsia" w:cs="宋体"/>
          <w:color w:val="000000" w:themeColor="text1"/>
          <w:kern w:val="0"/>
          <w:szCs w:val="21"/>
          <w:lang w:bidi="ar"/>
          <w14:textFill>
            <w14:solidFill>
              <w14:schemeClr w14:val="tx1"/>
            </w14:solidFill>
          </w14:textFill>
        </w:rPr>
        <w:t>式中：</w:t>
      </w:r>
    </w:p>
    <w:p w14:paraId="1802C6B9">
      <w:pPr>
        <w:pStyle w:val="2"/>
        <w:ind w:firstLine="420" w:firstLineChars="200"/>
        <w:rPr>
          <w:rFonts w:hint="eastAsia" w:cs="宋体"/>
          <w:color w:val="000000" w:themeColor="text1"/>
          <w:kern w:val="0"/>
          <w:szCs w:val="21"/>
          <w:lang w:bidi="ar"/>
          <w14:textFill>
            <w14:solidFill>
              <w14:schemeClr w14:val="tx1"/>
            </w14:solidFill>
          </w14:textFill>
        </w:rPr>
      </w:pPr>
      <w:r>
        <w:rPr>
          <w:rFonts w:hint="eastAsia" w:cs="宋体"/>
          <w:i/>
          <w:iCs/>
          <w:color w:val="000000" w:themeColor="text1"/>
          <w:kern w:val="0"/>
          <w:szCs w:val="21"/>
          <w:lang w:bidi="ar"/>
          <w14:textFill>
            <w14:solidFill>
              <w14:schemeClr w14:val="tx1"/>
            </w14:solidFill>
          </w14:textFill>
        </w:rPr>
        <w:t>W</w:t>
      </w:r>
      <w:r>
        <w:rPr>
          <w:rFonts w:hint="eastAsia" w:cs="宋体"/>
          <w:i/>
          <w:iCs/>
          <w:color w:val="000000" w:themeColor="text1"/>
          <w:kern w:val="0"/>
          <w:szCs w:val="21"/>
          <w:vertAlign w:val="subscript"/>
          <w:lang w:bidi="ar"/>
          <w14:textFill>
            <w14:solidFill>
              <w14:schemeClr w14:val="tx1"/>
            </w14:solidFill>
          </w14:textFill>
        </w:rPr>
        <w:t>h</w:t>
      </w:r>
      <w:r>
        <w:rPr>
          <w:rFonts w:hint="eastAsia" w:cs="宋体"/>
          <w:color w:val="000000" w:themeColor="text1"/>
          <w:kern w:val="0"/>
          <w:szCs w:val="21"/>
          <w:lang w:bidi="ar"/>
          <w14:textFill>
            <w14:solidFill>
              <w14:schemeClr w14:val="tx1"/>
            </w14:solidFill>
          </w14:textFill>
        </w:rPr>
        <w:t>——柴油机相应高原测试海拔NRTC循环功，kWh；</w:t>
      </w:r>
    </w:p>
    <w:p w14:paraId="3D8E6C24">
      <w:pPr>
        <w:ind w:firstLine="420" w:firstLineChars="200"/>
        <w:rPr>
          <w:rFonts w:hint="eastAsia" w:cs="宋体"/>
          <w:color w:val="000000" w:themeColor="text1"/>
          <w14:textFill>
            <w14:solidFill>
              <w14:schemeClr w14:val="tx1"/>
            </w14:solidFill>
          </w14:textFill>
        </w:rPr>
      </w:pPr>
      <w:r>
        <w:rPr>
          <w:rFonts w:hint="eastAsia" w:cs="宋体"/>
          <w:i/>
          <w:iCs/>
          <w:color w:val="000000" w:themeColor="text1"/>
          <w14:textFill>
            <w14:solidFill>
              <w14:schemeClr w14:val="tx1"/>
            </w14:solidFill>
          </w14:textFill>
        </w:rPr>
        <w:t>η</w:t>
      </w:r>
      <w:r>
        <w:rPr>
          <w:rFonts w:hint="eastAsia" w:cs="宋体"/>
          <w:color w:val="000000" w:themeColor="text1"/>
          <w:kern w:val="0"/>
          <w:szCs w:val="21"/>
          <w:lang w:bidi="ar"/>
          <w14:textFill>
            <w14:solidFill>
              <w14:schemeClr w14:val="tx1"/>
            </w14:solidFill>
          </w14:textFill>
        </w:rPr>
        <w:t>——柴油机高原NRTC循环功衰减系数；</w:t>
      </w:r>
    </w:p>
    <w:p w14:paraId="1BD77F1E">
      <w:pPr>
        <w:pStyle w:val="2"/>
        <w:ind w:firstLine="420" w:firstLineChars="200"/>
        <w:rPr>
          <w:rFonts w:hint="eastAsia" w:cs="宋体"/>
          <w:color w:val="000000" w:themeColor="text1"/>
          <w:kern w:val="0"/>
          <w:szCs w:val="21"/>
          <w:lang w:bidi="ar"/>
          <w14:textFill>
            <w14:solidFill>
              <w14:schemeClr w14:val="tx1"/>
            </w14:solidFill>
          </w14:textFill>
        </w:rPr>
      </w:pPr>
      <w:r>
        <w:rPr>
          <w:rFonts w:hint="eastAsia" w:cs="宋体"/>
          <w:i/>
          <w:iCs/>
          <w:color w:val="000000" w:themeColor="text1"/>
          <w:kern w:val="0"/>
          <w:szCs w:val="21"/>
          <w:lang w:bidi="ar"/>
          <w14:textFill>
            <w14:solidFill>
              <w14:schemeClr w14:val="tx1"/>
            </w14:solidFill>
          </w14:textFill>
        </w:rPr>
        <w:t>W</w:t>
      </w:r>
      <w:r>
        <w:rPr>
          <w:rFonts w:hint="eastAsia" w:cs="宋体"/>
          <w:i/>
          <w:iCs/>
          <w:color w:val="000000" w:themeColor="text1"/>
          <w:kern w:val="0"/>
          <w:szCs w:val="21"/>
          <w:vertAlign w:val="subscript"/>
          <w:lang w:bidi="ar"/>
          <w14:textFill>
            <w14:solidFill>
              <w14:schemeClr w14:val="tx1"/>
            </w14:solidFill>
          </w14:textFill>
        </w:rPr>
        <w:t>p</w:t>
      </w:r>
      <w:r>
        <w:rPr>
          <w:rFonts w:hint="eastAsia" w:cs="宋体"/>
          <w:color w:val="000000" w:themeColor="text1"/>
          <w:kern w:val="0"/>
          <w:szCs w:val="21"/>
          <w:lang w:bidi="ar"/>
          <w14:textFill>
            <w14:solidFill>
              <w14:schemeClr w14:val="tx1"/>
            </w14:solidFill>
          </w14:textFill>
        </w:rPr>
        <w:t>——柴油机平原NRTC循环功，kWh；</w:t>
      </w:r>
    </w:p>
    <w:p w14:paraId="353453CD">
      <w:pPr>
        <w:pStyle w:val="25"/>
        <w:ind w:firstLine="420"/>
        <w:rPr>
          <w:rFonts w:hint="eastAsia"/>
        </w:rPr>
      </w:pPr>
      <w:r>
        <w:rPr>
          <w:rFonts w:hint="eastAsia" w:cs="宋体"/>
          <w:i/>
          <w:iCs/>
          <w:color w:val="000000" w:themeColor="text1"/>
          <w:szCs w:val="21"/>
          <w:lang w:bidi="ar"/>
          <w14:textFill>
            <w14:solidFill>
              <w14:schemeClr w14:val="tx1"/>
            </w14:solidFill>
          </w14:textFill>
        </w:rPr>
        <w:t>H</w:t>
      </w:r>
      <w:r>
        <w:rPr>
          <w:rFonts w:hint="eastAsia" w:cs="宋体"/>
          <w:color w:val="000000" w:themeColor="text1"/>
          <w:szCs w:val="21"/>
          <w:lang w:bidi="ar"/>
          <w14:textFill>
            <w14:solidFill>
              <w14:schemeClr w14:val="tx1"/>
            </w14:solidFill>
          </w14:textFill>
        </w:rPr>
        <w:t>——柴油机相应高原测试海拔，m。</w:t>
      </w:r>
    </w:p>
    <w:p w14:paraId="337FB844">
      <w:pPr>
        <w:pStyle w:val="38"/>
        <w:rPr>
          <w:rFonts w:hint="eastAsia"/>
        </w:rPr>
      </w:pPr>
      <w:bookmarkStart w:id="30" w:name="_Toc15272"/>
      <w:r>
        <w:rPr>
          <w:rFonts w:hint="eastAsia"/>
        </w:rPr>
        <w:t>5.6　数据一致性检查</w:t>
      </w:r>
      <w:bookmarkEnd w:id="30"/>
    </w:p>
    <w:p w14:paraId="45CCC58B">
      <w:pPr>
        <w:pStyle w:val="40"/>
        <w:rPr>
          <w:rFonts w:hint="eastAsia"/>
        </w:rPr>
      </w:pPr>
      <w:bookmarkStart w:id="31" w:name="_Toc9428"/>
      <w:r>
        <w:rPr>
          <w:rFonts w:hint="eastAsia"/>
        </w:rPr>
        <w:t>5.6.1　</w:t>
      </w:r>
      <w:r>
        <w:rPr>
          <w:rFonts w:hint="eastAsia" w:cs="黑体"/>
        </w:rPr>
        <w:t>油耗一致性</w:t>
      </w:r>
      <w:bookmarkEnd w:id="31"/>
    </w:p>
    <w:p w14:paraId="5BC35237">
      <w:pPr>
        <w:pStyle w:val="25"/>
        <w:ind w:firstLine="420"/>
        <w:rPr>
          <w:rFonts w:hint="eastAsia"/>
        </w:rPr>
      </w:pPr>
      <w:r>
        <w:rPr>
          <w:rFonts w:hint="eastAsia" w:cs="宋体"/>
          <w:szCs w:val="21"/>
          <w:lang w:bidi="ar"/>
        </w:rPr>
        <w:t>按HJ 1014</w:t>
      </w:r>
      <w:r>
        <w:rPr>
          <w:rFonts w:hint="eastAsia" w:cs="宋体"/>
          <w:szCs w:val="21"/>
        </w:rPr>
        <w:t>—2020中</w:t>
      </w:r>
      <w:r>
        <w:rPr>
          <w:rFonts w:hint="eastAsia" w:cs="宋体"/>
          <w:szCs w:val="21"/>
          <w:lang w:bidi="ar"/>
        </w:rPr>
        <w:t>E.4.1.3.1的规定，进行油耗一致性的确认。</w:t>
      </w:r>
    </w:p>
    <w:p w14:paraId="6F35F752">
      <w:pPr>
        <w:pStyle w:val="40"/>
        <w:rPr>
          <w:rFonts w:hint="eastAsia"/>
        </w:rPr>
      </w:pPr>
      <w:bookmarkStart w:id="32" w:name="_Toc20067"/>
      <w:r>
        <w:rPr>
          <w:rFonts w:hint="eastAsia"/>
        </w:rPr>
        <w:t>5.6.2　</w:t>
      </w:r>
      <w:r>
        <w:rPr>
          <w:rFonts w:hint="eastAsia" w:cs="黑体"/>
        </w:rPr>
        <w:t>扭矩一致性</w:t>
      </w:r>
      <w:bookmarkEnd w:id="32"/>
    </w:p>
    <w:p w14:paraId="045E01D9">
      <w:pPr>
        <w:pStyle w:val="25"/>
        <w:ind w:firstLine="420"/>
        <w:rPr>
          <w:rFonts w:hint="eastAsia" w:cs="宋体"/>
          <w:color w:val="000000" w:themeColor="text1"/>
          <w:szCs w:val="21"/>
          <w:lang w:bidi="ar"/>
          <w14:textFill>
            <w14:solidFill>
              <w14:schemeClr w14:val="tx1"/>
            </w14:solidFill>
          </w14:textFill>
        </w:rPr>
      </w:pPr>
      <w:r>
        <w:rPr>
          <w:rFonts w:hint="eastAsia" w:cs="宋体"/>
          <w:color w:val="000000" w:themeColor="text1"/>
          <w:szCs w:val="21"/>
          <w:lang w:bidi="ar"/>
          <w14:textFill>
            <w14:solidFill>
              <w14:schemeClr w14:val="tx1"/>
            </w14:solidFill>
          </w14:textFill>
        </w:rPr>
        <w:t>测试时不同转速（怠速转速除外）下的全负荷扭矩与相应高原测试海拔（±100 m）外特性曲线不同转速下扭矩的大小相比，两者之间的差异应小于7%，可根据（1）</w:t>
      </w:r>
      <w:r>
        <w:rPr>
          <w:rFonts w:ascii="Times New Roman" w:hAnsi="Times New Roman"/>
          <w:color w:val="000000" w:themeColor="text1"/>
          <w:szCs w:val="21"/>
          <w:lang w:bidi="ar"/>
          <w14:textFill>
            <w14:solidFill>
              <w14:schemeClr w14:val="tx1"/>
            </w14:solidFill>
          </w14:textFill>
        </w:rPr>
        <w:t>~</w:t>
      </w:r>
      <w:r>
        <w:rPr>
          <w:rFonts w:hint="eastAsia" w:cs="宋体"/>
          <w:color w:val="000000" w:themeColor="text1"/>
          <w:szCs w:val="21"/>
          <w:lang w:bidi="ar"/>
          <w14:textFill>
            <w14:solidFill>
              <w14:schemeClr w14:val="tx1"/>
            </w14:solidFill>
          </w14:textFill>
        </w:rPr>
        <w:t>（2）进行校验。如不满足上述要求，则试验无效。若企业不能提供相应高原测试海拔（±100 m）外特性曲线时，则基于平原和某一高原</w:t>
      </w:r>
      <w:r>
        <w:rPr>
          <w:rFonts w:hint="eastAsia" w:cs="宋体"/>
          <w:color w:val="000000" w:themeColor="text1"/>
          <w:szCs w:val="21"/>
          <w:lang w:val="en-US" w:eastAsia="zh-CN" w:bidi="ar"/>
          <w14:textFill>
            <w14:solidFill>
              <w14:schemeClr w14:val="tx1"/>
            </w14:solidFill>
          </w14:textFill>
        </w:rPr>
        <w:t>环境</w:t>
      </w:r>
      <w:r>
        <w:rPr>
          <w:rFonts w:hint="eastAsia" w:cs="宋体"/>
          <w:color w:val="000000" w:themeColor="text1"/>
          <w:szCs w:val="21"/>
          <w:lang w:bidi="ar"/>
          <w14:textFill>
            <w14:solidFill>
              <w14:schemeClr w14:val="tx1"/>
            </w14:solidFill>
          </w14:textFill>
        </w:rPr>
        <w:t>下的外特性曲线，采用线性插值获取相应高原测试海拔（±100 m）条件下的外特性曲线。</w:t>
      </w:r>
    </w:p>
    <w:p w14:paraId="25799B74">
      <w:pPr>
        <w:pStyle w:val="25"/>
        <w:ind w:firstLine="420"/>
        <w:rPr>
          <w:rFonts w:hint="eastAsia" w:cs="宋体"/>
          <w:color w:val="000000" w:themeColor="text1"/>
          <w:szCs w:val="21"/>
          <w:lang w:bidi="ar"/>
          <w14:textFill>
            <w14:solidFill>
              <w14:schemeClr w14:val="tx1"/>
            </w14:solidFill>
          </w14:textFill>
        </w:rPr>
      </w:pPr>
      <w:r>
        <w:rPr>
          <w:rFonts w:hint="eastAsia" w:cs="宋体"/>
          <w:color w:val="000000" w:themeColor="text1"/>
          <w:szCs w:val="21"/>
          <w:lang w:bidi="ar"/>
          <w14:textFill>
            <w14:solidFill>
              <w14:schemeClr w14:val="tx1"/>
            </w14:solidFill>
          </w14:textFill>
        </w:rPr>
        <w:t>（1）柴油机相应高原测试海拔（±100 m）全负荷扭矩的确定</w:t>
      </w:r>
    </w:p>
    <w:p w14:paraId="454D7EC4">
      <w:pPr>
        <w:widowControl/>
        <w:ind w:firstLine="420" w:firstLineChars="200"/>
        <w:jc w:val="left"/>
        <w:rPr>
          <w:rFonts w:ascii="Times New Roman" w:hAnsi="Times New Roman" w:cs="Times New Roman"/>
          <w:color w:val="000000" w:themeColor="text1"/>
          <w:kern w:val="0"/>
          <w:szCs w:val="21"/>
          <w:lang w:bidi="ar"/>
          <w14:textFill>
            <w14:solidFill>
              <w14:schemeClr w14:val="tx1"/>
            </w14:solidFill>
          </w14:textFill>
        </w:rPr>
      </w:pPr>
      <w:r>
        <w:rPr>
          <w:rFonts w:hint="eastAsia" w:cs="宋体"/>
          <w:color w:val="000000" w:themeColor="text1"/>
          <w:kern w:val="0"/>
          <w:szCs w:val="21"/>
          <w:lang w:bidi="ar"/>
          <w14:textFill>
            <w14:solidFill>
              <w14:schemeClr w14:val="tx1"/>
            </w14:solidFill>
          </w14:textFill>
        </w:rPr>
        <w:t>以OBD读取的实际发动机最大负荷-5%作为全负荷工况范围，筛选出所有全负荷工况点。</w:t>
      </w:r>
    </w:p>
    <w:p w14:paraId="490505EF">
      <w:pPr>
        <w:pStyle w:val="2"/>
        <w:jc w:val="center"/>
        <w:rPr>
          <w:rFonts w:hint="eastAsia"/>
        </w:rPr>
      </w:pPr>
      <w:r>
        <w:rPr>
          <w:rFonts w:hint="eastAsia"/>
        </w:rPr>
        <w:drawing>
          <wp:inline distT="0" distB="0" distL="114300" distR="114300">
            <wp:extent cx="3505200" cy="2879725"/>
            <wp:effectExtent l="0" t="0" r="0" b="3175"/>
            <wp:docPr id="7" name="图片 7" descr="重型车扭矩一致性验证-一汽解放-全负荷工况范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重型车扭矩一致性验证-一汽解放-全负荷工况范围"/>
                    <pic:cNvPicPr>
                      <a:picLocks noChangeAspect="1"/>
                    </pic:cNvPicPr>
                  </pic:nvPicPr>
                  <pic:blipFill>
                    <a:blip r:embed="rId33"/>
                    <a:stretch>
                      <a:fillRect/>
                    </a:stretch>
                  </pic:blipFill>
                  <pic:spPr>
                    <a:xfrm>
                      <a:off x="0" y="0"/>
                      <a:ext cx="3505200" cy="2879725"/>
                    </a:xfrm>
                    <a:prstGeom prst="rect">
                      <a:avLst/>
                    </a:prstGeom>
                  </pic:spPr>
                </pic:pic>
              </a:graphicData>
            </a:graphic>
          </wp:inline>
        </w:drawing>
      </w:r>
    </w:p>
    <w:p w14:paraId="60C18EC5">
      <w:pPr>
        <w:pStyle w:val="45"/>
        <w:bidi w:val="0"/>
        <w:rPr>
          <w:rFonts w:hint="eastAsia"/>
        </w:rPr>
      </w:pPr>
      <w:r>
        <w:rPr>
          <w:rFonts w:hint="eastAsia"/>
        </w:rPr>
        <w:t>图1 全负荷工况范围的确定</w:t>
      </w:r>
    </w:p>
    <w:p w14:paraId="7C8EF973">
      <w:pPr>
        <w:pStyle w:val="25"/>
        <w:ind w:firstLine="420"/>
        <w:rPr>
          <w:rFonts w:hint="eastAsia" w:cs="宋体"/>
          <w:color w:val="000000" w:themeColor="text1"/>
          <w:szCs w:val="21"/>
          <w:lang w:bidi="ar"/>
          <w14:textFill>
            <w14:solidFill>
              <w14:schemeClr w14:val="tx1"/>
            </w14:solidFill>
          </w14:textFill>
        </w:rPr>
      </w:pPr>
      <w:r>
        <w:rPr>
          <w:rFonts w:hint="eastAsia" w:cs="宋体"/>
          <w:color w:val="000000" w:themeColor="text1"/>
          <w:szCs w:val="21"/>
          <w:lang w:bidi="ar"/>
          <w14:textFill>
            <w14:solidFill>
              <w14:schemeClr w14:val="tx1"/>
            </w14:solidFill>
          </w14:textFill>
        </w:rPr>
        <w:t>（2）柴油机相应高原测试海拔（±100 m）扭矩一致性的校验</w:t>
      </w:r>
    </w:p>
    <w:p w14:paraId="1404A179">
      <w:pPr>
        <w:ind w:firstLine="420" w:firstLineChars="200"/>
        <w:rPr>
          <w:rFonts w:ascii="Times New Roman" w:hAnsi="Times New Roman" w:cs="Times New Roman"/>
          <w:color w:val="000000" w:themeColor="text1"/>
          <w:kern w:val="0"/>
          <w:szCs w:val="21"/>
          <w:lang w:bidi="ar"/>
          <w14:textFill>
            <w14:solidFill>
              <w14:schemeClr w14:val="tx1"/>
            </w14:solidFill>
          </w14:textFill>
        </w:rPr>
      </w:pPr>
      <w:r>
        <w:rPr>
          <w:rFonts w:hint="eastAsia" w:ascii="Times New Roman" w:hAnsi="Times New Roman" w:cs="Times New Roman"/>
          <w:color w:val="000000" w:themeColor="text1"/>
          <w:kern w:val="0"/>
          <w:szCs w:val="21"/>
          <w:lang w:bidi="ar"/>
          <w14:textFill>
            <w14:solidFill>
              <w14:schemeClr w14:val="tx1"/>
            </w14:solidFill>
          </w14:textFill>
        </w:rPr>
        <w:t>对全负荷工况不同转速区间（以</w:t>
      </w:r>
      <w:r>
        <w:rPr>
          <w:rFonts w:hint="eastAsia" w:cs="宋体"/>
          <w:color w:val="000000" w:themeColor="text1"/>
          <w:szCs w:val="21"/>
          <w:lang w:bidi="ar"/>
          <w14:textFill>
            <w14:solidFill>
              <w14:schemeClr w14:val="tx1"/>
            </w14:solidFill>
          </w14:textFill>
        </w:rPr>
        <w:t>相应高原测试海拔（±100 m）</w:t>
      </w:r>
      <w:r>
        <w:rPr>
          <w:rFonts w:hint="eastAsia" w:ascii="Times New Roman" w:hAnsi="Times New Roman" w:cs="Times New Roman"/>
          <w:color w:val="000000" w:themeColor="text1"/>
          <w:kern w:val="0"/>
          <w:szCs w:val="21"/>
          <w:lang w:bidi="ar"/>
          <w14:textFill>
            <w14:solidFill>
              <w14:schemeClr w14:val="tx1"/>
            </w14:solidFill>
          </w14:textFill>
        </w:rPr>
        <w:t>外特性曲线上的转速为基准，加减外特性曲线上的相邻转速之差的一半作为转速区间）内的扭矩求平均值（怠速转速除外），将其与</w:t>
      </w:r>
      <w:r>
        <w:rPr>
          <w:rFonts w:hint="eastAsia" w:cs="宋体"/>
          <w:color w:val="000000" w:themeColor="text1"/>
          <w:szCs w:val="21"/>
          <w:lang w:bidi="ar"/>
          <w14:textFill>
            <w14:solidFill>
              <w14:schemeClr w14:val="tx1"/>
            </w14:solidFill>
          </w14:textFill>
        </w:rPr>
        <w:t>相应高原测试海拔（±100 m）</w:t>
      </w:r>
      <w:r>
        <w:rPr>
          <w:rFonts w:hint="eastAsia" w:ascii="Times New Roman" w:hAnsi="Times New Roman" w:cs="Times New Roman"/>
          <w:color w:val="000000" w:themeColor="text1"/>
          <w:kern w:val="0"/>
          <w:szCs w:val="21"/>
          <w:lang w:bidi="ar"/>
          <w14:textFill>
            <w14:solidFill>
              <w14:schemeClr w14:val="tx1"/>
            </w14:solidFill>
          </w14:textFill>
        </w:rPr>
        <w:t>外特性曲线上不同转速对应的最大扭矩进行扭矩一致性校验。</w:t>
      </w:r>
    </w:p>
    <w:p w14:paraId="10B359A1">
      <w:pPr>
        <w:pStyle w:val="2"/>
        <w:jc w:val="center"/>
        <w:rPr>
          <w:rFonts w:hint="eastAsia" w:eastAsia="宋体"/>
          <w:lang w:eastAsia="zh-CN"/>
        </w:rPr>
      </w:pPr>
      <w:r>
        <w:rPr>
          <w:rFonts w:hint="eastAsia" w:eastAsia="宋体"/>
          <w:lang w:eastAsia="zh-CN"/>
        </w:rPr>
        <w:drawing>
          <wp:inline distT="0" distB="0" distL="114300" distR="114300">
            <wp:extent cx="3599815" cy="2879725"/>
            <wp:effectExtent l="0" t="0" r="6985" b="3175"/>
            <wp:docPr id="4" name="图片 4" descr="重型车扭矩一致性验证-东风商用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重型车扭矩一致性验证-东风商用车"/>
                    <pic:cNvPicPr>
                      <a:picLocks noChangeAspect="1"/>
                    </pic:cNvPicPr>
                  </pic:nvPicPr>
                  <pic:blipFill>
                    <a:blip r:embed="rId34"/>
                    <a:stretch>
                      <a:fillRect/>
                    </a:stretch>
                  </pic:blipFill>
                  <pic:spPr>
                    <a:xfrm>
                      <a:off x="0" y="0"/>
                      <a:ext cx="3599815" cy="2879725"/>
                    </a:xfrm>
                    <a:prstGeom prst="rect">
                      <a:avLst/>
                    </a:prstGeom>
                  </pic:spPr>
                </pic:pic>
              </a:graphicData>
            </a:graphic>
          </wp:inline>
        </w:drawing>
      </w:r>
    </w:p>
    <w:p w14:paraId="4B823195">
      <w:pPr>
        <w:pStyle w:val="45"/>
        <w:bidi w:val="0"/>
        <w:rPr>
          <w:rFonts w:hint="eastAsia"/>
        </w:rPr>
      </w:pPr>
      <w:r>
        <w:rPr>
          <w:rFonts w:hint="eastAsia"/>
        </w:rPr>
        <w:t>图2 全负荷工况转速区间内的扭矩</w:t>
      </w:r>
    </w:p>
    <w:p w14:paraId="5CB4EE87">
      <w:pPr>
        <w:pStyle w:val="38"/>
        <w:rPr>
          <w:rFonts w:hint="eastAsia"/>
        </w:rPr>
      </w:pPr>
      <w:bookmarkStart w:id="33" w:name="_Toc495"/>
      <w:bookmarkStart w:id="34" w:name="_Toc30636"/>
      <w:r>
        <w:rPr>
          <w:rFonts w:hint="eastAsia"/>
        </w:rPr>
        <w:t>5.7　高原推荐限值</w:t>
      </w:r>
      <w:bookmarkEnd w:id="33"/>
      <w:r>
        <w:rPr>
          <w:rFonts w:hint="eastAsia"/>
        </w:rPr>
        <w:t>扩展系数</w:t>
      </w:r>
      <w:bookmarkEnd w:id="34"/>
    </w:p>
    <w:p w14:paraId="242FA33C">
      <w:pPr>
        <w:widowControl/>
        <w:ind w:firstLine="420" w:firstLineChars="200"/>
        <w:jc w:val="left"/>
        <w:rPr>
          <w:rFonts w:hint="eastAsia"/>
        </w:rPr>
      </w:pPr>
      <w:r>
        <w:rPr>
          <w:rFonts w:hint="eastAsia"/>
        </w:rPr>
        <w:t xml:space="preserve">排气污染物车载法试验高原推荐限值为GB </w:t>
      </w:r>
      <w:r>
        <w:t>20891—2014</w:t>
      </w:r>
      <w:r>
        <w:rPr>
          <w:rFonts w:hint="eastAsia"/>
        </w:rPr>
        <w:t>限值的2.5倍乘以表2高原推荐限值扩展系数。</w:t>
      </w:r>
      <w:r>
        <w:rPr>
          <w:rFonts w:hint="eastAsia" w:cs="宋体"/>
          <w:kern w:val="0"/>
          <w:szCs w:val="21"/>
          <w:lang w:bidi="ar"/>
        </w:rPr>
        <w:t>当测试海拔超过2400m时，</w:t>
      </w:r>
      <w:r>
        <w:rPr>
          <w:rFonts w:hint="eastAsia" w:cs="宋体"/>
          <w:color w:val="000000"/>
          <w:kern w:val="0"/>
          <w:szCs w:val="21"/>
          <w:lang w:bidi="ar"/>
        </w:rPr>
        <w:t>辅助排放控制策略需被激活。</w:t>
      </w:r>
    </w:p>
    <w:p w14:paraId="529607BE">
      <w:pPr>
        <w:pStyle w:val="45"/>
        <w:bidi w:val="0"/>
        <w:rPr>
          <w:rFonts w:hint="eastAsia"/>
        </w:rPr>
      </w:pPr>
      <w:r>
        <w:rPr>
          <w:rFonts w:hint="eastAsia"/>
        </w:rPr>
        <w:t>表2 高原推荐限值扩展系数</w:t>
      </w:r>
    </w:p>
    <w:tbl>
      <w:tblPr>
        <w:tblStyle w:val="18"/>
        <w:tblW w:w="5090" w:type="dxa"/>
        <w:jc w:val="center"/>
        <w:tblLayout w:type="fixed"/>
        <w:tblCellMar>
          <w:top w:w="0" w:type="dxa"/>
          <w:left w:w="108" w:type="dxa"/>
          <w:bottom w:w="0" w:type="dxa"/>
          <w:right w:w="108" w:type="dxa"/>
        </w:tblCellMar>
      </w:tblPr>
      <w:tblGrid>
        <w:gridCol w:w="1661"/>
        <w:gridCol w:w="1513"/>
        <w:gridCol w:w="1916"/>
      </w:tblGrid>
      <w:tr w14:paraId="78CC70D2">
        <w:tblPrEx>
          <w:tblCellMar>
            <w:top w:w="0" w:type="dxa"/>
            <w:left w:w="108" w:type="dxa"/>
            <w:bottom w:w="0" w:type="dxa"/>
            <w:right w:w="108" w:type="dxa"/>
          </w:tblCellMar>
        </w:tblPrEx>
        <w:trPr>
          <w:trHeight w:val="57" w:hRule="atLeast"/>
          <w:jc w:val="center"/>
        </w:trPr>
        <w:tc>
          <w:tcPr>
            <w:tcW w:w="1661" w:type="dxa"/>
            <w:tcBorders>
              <w:top w:val="single" w:color="000000" w:sz="12" w:space="0"/>
              <w:left w:val="single" w:color="000000" w:sz="12" w:space="0"/>
              <w:bottom w:val="single" w:color="000000" w:sz="4" w:space="0"/>
              <w:right w:val="single" w:color="000000" w:sz="4" w:space="0"/>
            </w:tcBorders>
            <w:noWrap/>
            <w:vAlign w:val="center"/>
          </w:tcPr>
          <w:p w14:paraId="60B3E0C8">
            <w:pPr>
              <w:widowControl/>
              <w:jc w:val="center"/>
              <w:textAlignment w:val="center"/>
              <w:rPr>
                <w:rFonts w:hint="eastAsia" w:cs="宋体"/>
                <w:color w:val="000000"/>
                <w:sz w:val="18"/>
                <w:szCs w:val="18"/>
              </w:rPr>
            </w:pPr>
            <w:r>
              <w:rPr>
                <w:rFonts w:hint="eastAsia" w:cs="宋体"/>
                <w:color w:val="000000"/>
                <w:kern w:val="0"/>
                <w:sz w:val="18"/>
                <w:szCs w:val="18"/>
                <w:lang w:bidi="ar"/>
              </w:rPr>
              <w:t>海拔/m</w:t>
            </w:r>
          </w:p>
        </w:tc>
        <w:tc>
          <w:tcPr>
            <w:tcW w:w="1513" w:type="dxa"/>
            <w:tcBorders>
              <w:top w:val="single" w:color="000000" w:sz="12" w:space="0"/>
              <w:left w:val="single" w:color="000000" w:sz="4" w:space="0"/>
              <w:bottom w:val="single" w:color="000000" w:sz="4" w:space="0"/>
              <w:right w:val="single" w:color="000000" w:sz="4" w:space="0"/>
            </w:tcBorders>
            <w:noWrap/>
            <w:vAlign w:val="bottom"/>
          </w:tcPr>
          <w:p w14:paraId="6FC353E9">
            <w:pPr>
              <w:widowControl/>
              <w:jc w:val="center"/>
              <w:textAlignment w:val="bottom"/>
              <w:rPr>
                <w:rFonts w:hint="eastAsia" w:cs="宋体"/>
                <w:color w:val="000000"/>
                <w:sz w:val="18"/>
                <w:szCs w:val="18"/>
              </w:rPr>
            </w:pPr>
            <w:r>
              <w:rPr>
                <w:rFonts w:hint="eastAsia" w:cs="宋体"/>
                <w:color w:val="000000"/>
                <w:kern w:val="0"/>
                <w:sz w:val="18"/>
                <w:szCs w:val="18"/>
                <w:lang w:bidi="ar"/>
              </w:rPr>
              <w:t>CO</w:t>
            </w:r>
          </w:p>
        </w:tc>
        <w:tc>
          <w:tcPr>
            <w:tcW w:w="1916" w:type="dxa"/>
            <w:tcBorders>
              <w:top w:val="single" w:color="000000" w:sz="12" w:space="0"/>
              <w:left w:val="single" w:color="000000" w:sz="4" w:space="0"/>
              <w:bottom w:val="single" w:color="000000" w:sz="4" w:space="0"/>
              <w:right w:val="single" w:color="000000" w:sz="12" w:space="0"/>
            </w:tcBorders>
            <w:noWrap/>
            <w:vAlign w:val="bottom"/>
          </w:tcPr>
          <w:p w14:paraId="33770A21">
            <w:pPr>
              <w:widowControl/>
              <w:jc w:val="center"/>
              <w:textAlignment w:val="bottom"/>
              <w:rPr>
                <w:rFonts w:hint="eastAsia" w:cs="宋体"/>
                <w:color w:val="000000"/>
                <w:sz w:val="18"/>
                <w:szCs w:val="18"/>
              </w:rPr>
            </w:pPr>
            <w:r>
              <w:rPr>
                <w:rFonts w:hint="eastAsia" w:cs="宋体"/>
                <w:color w:val="000000"/>
                <w:kern w:val="0"/>
                <w:sz w:val="18"/>
                <w:szCs w:val="18"/>
                <w:lang w:bidi="ar"/>
              </w:rPr>
              <w:t>NOx</w:t>
            </w:r>
          </w:p>
        </w:tc>
      </w:tr>
      <w:tr w14:paraId="6998BF77">
        <w:tblPrEx>
          <w:tblCellMar>
            <w:top w:w="0" w:type="dxa"/>
            <w:left w:w="108" w:type="dxa"/>
            <w:bottom w:w="0" w:type="dxa"/>
            <w:right w:w="108" w:type="dxa"/>
          </w:tblCellMar>
        </w:tblPrEx>
        <w:trPr>
          <w:trHeight w:val="57" w:hRule="atLeast"/>
          <w:jc w:val="center"/>
        </w:trPr>
        <w:tc>
          <w:tcPr>
            <w:tcW w:w="1661" w:type="dxa"/>
            <w:tcBorders>
              <w:top w:val="single" w:color="000000" w:sz="4" w:space="0"/>
              <w:left w:val="single" w:color="000000" w:sz="12" w:space="0"/>
              <w:bottom w:val="single" w:color="000000" w:sz="4" w:space="0"/>
              <w:right w:val="single" w:color="000000" w:sz="4" w:space="0"/>
            </w:tcBorders>
            <w:noWrap/>
            <w:vAlign w:val="center"/>
          </w:tcPr>
          <w:p w14:paraId="56112A83">
            <w:pPr>
              <w:widowControl/>
              <w:jc w:val="center"/>
              <w:textAlignment w:val="center"/>
              <w:rPr>
                <w:rFonts w:hint="eastAsia" w:cs="宋体"/>
                <w:color w:val="000000"/>
                <w:sz w:val="18"/>
                <w:szCs w:val="18"/>
              </w:rPr>
            </w:pPr>
            <w:r>
              <w:rPr>
                <w:rFonts w:hint="eastAsia" w:cs="宋体"/>
                <w:color w:val="000000"/>
                <w:kern w:val="0"/>
                <w:sz w:val="18"/>
                <w:szCs w:val="18"/>
                <w:lang w:bidi="ar"/>
              </w:rPr>
              <w:t>H≤2400</w:t>
            </w:r>
          </w:p>
        </w:tc>
        <w:tc>
          <w:tcPr>
            <w:tcW w:w="1513" w:type="dxa"/>
            <w:tcBorders>
              <w:top w:val="single" w:color="000000" w:sz="4" w:space="0"/>
              <w:left w:val="single" w:color="000000" w:sz="4" w:space="0"/>
              <w:bottom w:val="single" w:color="000000" w:sz="4" w:space="0"/>
              <w:right w:val="single" w:color="000000" w:sz="4" w:space="0"/>
            </w:tcBorders>
            <w:noWrap/>
            <w:vAlign w:val="center"/>
          </w:tcPr>
          <w:p w14:paraId="6B98D81A">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1916" w:type="dxa"/>
            <w:tcBorders>
              <w:top w:val="single" w:color="000000" w:sz="4" w:space="0"/>
              <w:left w:val="single" w:color="000000" w:sz="4" w:space="0"/>
              <w:bottom w:val="single" w:color="000000" w:sz="4" w:space="0"/>
              <w:right w:val="single" w:color="000000" w:sz="12" w:space="0"/>
            </w:tcBorders>
            <w:noWrap/>
            <w:vAlign w:val="center"/>
          </w:tcPr>
          <w:p w14:paraId="61A74897">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r>
      <w:tr w14:paraId="0FE9CDB7">
        <w:tblPrEx>
          <w:tblCellMar>
            <w:top w:w="0" w:type="dxa"/>
            <w:left w:w="108" w:type="dxa"/>
            <w:bottom w:w="0" w:type="dxa"/>
            <w:right w:w="108" w:type="dxa"/>
          </w:tblCellMar>
        </w:tblPrEx>
        <w:trPr>
          <w:trHeight w:val="263" w:hRule="atLeast"/>
          <w:jc w:val="center"/>
        </w:trPr>
        <w:tc>
          <w:tcPr>
            <w:tcW w:w="1661" w:type="dxa"/>
            <w:tcBorders>
              <w:top w:val="single" w:color="000000" w:sz="4" w:space="0"/>
              <w:left w:val="single" w:color="000000" w:sz="12" w:space="0"/>
              <w:bottom w:val="single" w:color="000000" w:sz="4" w:space="0"/>
              <w:right w:val="single" w:color="000000" w:sz="4" w:space="0"/>
            </w:tcBorders>
            <w:noWrap/>
            <w:vAlign w:val="center"/>
          </w:tcPr>
          <w:p w14:paraId="23F626AD">
            <w:pPr>
              <w:widowControl/>
              <w:jc w:val="center"/>
              <w:textAlignment w:val="center"/>
              <w:rPr>
                <w:rFonts w:hint="eastAsia" w:cs="宋体"/>
                <w:color w:val="000000"/>
                <w:sz w:val="18"/>
                <w:szCs w:val="18"/>
              </w:rPr>
            </w:pPr>
            <w:r>
              <w:rPr>
                <w:rFonts w:hint="eastAsia" w:cs="宋体"/>
                <w:color w:val="000000"/>
                <w:kern w:val="0"/>
                <w:sz w:val="18"/>
                <w:szCs w:val="18"/>
                <w:lang w:bidi="ar"/>
              </w:rPr>
              <w:t>2400＜H≤3000</w:t>
            </w:r>
          </w:p>
        </w:tc>
        <w:tc>
          <w:tcPr>
            <w:tcW w:w="1513" w:type="dxa"/>
            <w:tcBorders>
              <w:top w:val="single" w:color="000000" w:sz="4" w:space="0"/>
              <w:left w:val="single" w:color="000000" w:sz="4" w:space="0"/>
              <w:bottom w:val="single" w:color="000000" w:sz="4" w:space="0"/>
              <w:right w:val="single" w:color="000000" w:sz="4" w:space="0"/>
            </w:tcBorders>
            <w:noWrap/>
            <w:vAlign w:val="center"/>
          </w:tcPr>
          <w:p w14:paraId="35368AA6">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1916" w:type="dxa"/>
            <w:tcBorders>
              <w:top w:val="single" w:color="000000" w:sz="4" w:space="0"/>
              <w:left w:val="single" w:color="000000" w:sz="4" w:space="0"/>
              <w:bottom w:val="single" w:color="000000" w:sz="4" w:space="0"/>
              <w:right w:val="single" w:color="000000" w:sz="12" w:space="0"/>
            </w:tcBorders>
            <w:noWrap/>
            <w:vAlign w:val="center"/>
          </w:tcPr>
          <w:p w14:paraId="0871C6F1">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r>
      <w:tr w14:paraId="4989F8BC">
        <w:tblPrEx>
          <w:tblCellMar>
            <w:top w:w="0" w:type="dxa"/>
            <w:left w:w="108" w:type="dxa"/>
            <w:bottom w:w="0" w:type="dxa"/>
            <w:right w:w="108" w:type="dxa"/>
          </w:tblCellMar>
        </w:tblPrEx>
        <w:trPr>
          <w:trHeight w:val="263" w:hRule="atLeast"/>
          <w:jc w:val="center"/>
        </w:trPr>
        <w:tc>
          <w:tcPr>
            <w:tcW w:w="1661" w:type="dxa"/>
            <w:tcBorders>
              <w:top w:val="single" w:color="000000" w:sz="4" w:space="0"/>
              <w:left w:val="single" w:color="000000" w:sz="12" w:space="0"/>
              <w:bottom w:val="single" w:color="000000" w:sz="4" w:space="0"/>
              <w:right w:val="single" w:color="000000" w:sz="4" w:space="0"/>
            </w:tcBorders>
            <w:noWrap/>
            <w:vAlign w:val="center"/>
          </w:tcPr>
          <w:p w14:paraId="1785A7DF">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3000＜H≤4000</w:t>
            </w:r>
          </w:p>
        </w:tc>
        <w:tc>
          <w:tcPr>
            <w:tcW w:w="1513" w:type="dxa"/>
            <w:tcBorders>
              <w:top w:val="single" w:color="000000" w:sz="4" w:space="0"/>
              <w:left w:val="single" w:color="000000" w:sz="4" w:space="0"/>
              <w:bottom w:val="single" w:color="000000" w:sz="4" w:space="0"/>
              <w:right w:val="single" w:color="000000" w:sz="4" w:space="0"/>
            </w:tcBorders>
            <w:noWrap/>
            <w:vAlign w:val="center"/>
          </w:tcPr>
          <w:p w14:paraId="7D85C6F0">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1916" w:type="dxa"/>
            <w:tcBorders>
              <w:top w:val="single" w:color="000000" w:sz="4" w:space="0"/>
              <w:left w:val="single" w:color="000000" w:sz="4" w:space="0"/>
              <w:bottom w:val="single" w:color="000000" w:sz="4" w:space="0"/>
              <w:right w:val="single" w:color="000000" w:sz="12" w:space="0"/>
            </w:tcBorders>
            <w:noWrap/>
            <w:vAlign w:val="center"/>
          </w:tcPr>
          <w:p w14:paraId="102DD67B">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r>
      <w:tr w14:paraId="12C8C034">
        <w:tblPrEx>
          <w:tblCellMar>
            <w:top w:w="0" w:type="dxa"/>
            <w:left w:w="108" w:type="dxa"/>
            <w:bottom w:w="0" w:type="dxa"/>
            <w:right w:w="108" w:type="dxa"/>
          </w:tblCellMar>
        </w:tblPrEx>
        <w:trPr>
          <w:trHeight w:val="263" w:hRule="atLeast"/>
          <w:jc w:val="center"/>
        </w:trPr>
        <w:tc>
          <w:tcPr>
            <w:tcW w:w="1661" w:type="dxa"/>
            <w:tcBorders>
              <w:top w:val="single" w:color="000000" w:sz="4" w:space="0"/>
              <w:left w:val="single" w:color="000000" w:sz="12" w:space="0"/>
              <w:bottom w:val="single" w:color="000000" w:sz="4" w:space="0"/>
              <w:right w:val="single" w:color="000000" w:sz="4" w:space="0"/>
            </w:tcBorders>
            <w:noWrap/>
            <w:vAlign w:val="center"/>
          </w:tcPr>
          <w:p w14:paraId="4D182C26">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H＞4000</w:t>
            </w:r>
          </w:p>
        </w:tc>
        <w:tc>
          <w:tcPr>
            <w:tcW w:w="1513" w:type="dxa"/>
            <w:tcBorders>
              <w:top w:val="single" w:color="000000" w:sz="4" w:space="0"/>
              <w:left w:val="single" w:color="000000" w:sz="4" w:space="0"/>
              <w:bottom w:val="single" w:color="000000" w:sz="4" w:space="0"/>
              <w:right w:val="single" w:color="000000" w:sz="4" w:space="0"/>
            </w:tcBorders>
            <w:noWrap/>
            <w:vAlign w:val="center"/>
          </w:tcPr>
          <w:p w14:paraId="33627E34">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1916" w:type="dxa"/>
            <w:tcBorders>
              <w:top w:val="single" w:color="000000" w:sz="4" w:space="0"/>
              <w:left w:val="single" w:color="000000" w:sz="4" w:space="0"/>
              <w:bottom w:val="single" w:color="000000" w:sz="4" w:space="0"/>
              <w:right w:val="single" w:color="000000" w:sz="12" w:space="0"/>
            </w:tcBorders>
            <w:noWrap/>
            <w:vAlign w:val="center"/>
          </w:tcPr>
          <w:p w14:paraId="649066E8">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r>
      <w:tr w14:paraId="344E6EEA">
        <w:tblPrEx>
          <w:tblCellMar>
            <w:top w:w="0" w:type="dxa"/>
            <w:left w:w="108" w:type="dxa"/>
            <w:bottom w:w="0" w:type="dxa"/>
            <w:right w:w="108" w:type="dxa"/>
          </w:tblCellMar>
        </w:tblPrEx>
        <w:trPr>
          <w:trHeight w:val="263" w:hRule="atLeast"/>
          <w:jc w:val="center"/>
        </w:trPr>
        <w:tc>
          <w:tcPr>
            <w:tcW w:w="5090" w:type="dxa"/>
            <w:gridSpan w:val="3"/>
            <w:tcBorders>
              <w:top w:val="single" w:color="000000" w:sz="4" w:space="0"/>
              <w:left w:val="single" w:color="000000" w:sz="12" w:space="0"/>
              <w:bottom w:val="single" w:color="000000" w:sz="12" w:space="0"/>
              <w:right w:val="single" w:color="000000" w:sz="12" w:space="0"/>
            </w:tcBorders>
            <w:noWrap/>
            <w:vAlign w:val="center"/>
          </w:tcPr>
          <w:p w14:paraId="3A825046">
            <w:pPr>
              <w:widowControl/>
              <w:jc w:val="left"/>
              <w:textAlignment w:val="center"/>
              <w:rPr>
                <w:rFonts w:hint="eastAsia" w:cs="宋体"/>
                <w:color w:val="000000"/>
                <w:kern w:val="0"/>
                <w:sz w:val="18"/>
                <w:szCs w:val="18"/>
                <w:lang w:bidi="ar"/>
              </w:rPr>
            </w:pPr>
            <w:r>
              <w:rPr>
                <w:rFonts w:hint="eastAsia" w:cs="宋体"/>
                <w:color w:val="000000"/>
                <w:kern w:val="0"/>
                <w:sz w:val="18"/>
                <w:szCs w:val="18"/>
                <w:lang w:bidi="ar"/>
              </w:rPr>
              <w:t>注：H代表海拔高度</w:t>
            </w:r>
          </w:p>
        </w:tc>
      </w:tr>
    </w:tbl>
    <w:p w14:paraId="4001C68C">
      <w:pPr>
        <w:pStyle w:val="39"/>
        <w:rPr>
          <w:rFonts w:hint="eastAsia"/>
        </w:rPr>
      </w:pPr>
      <w:bookmarkStart w:id="35" w:name="_Toc19042"/>
      <w:r>
        <w:rPr>
          <w:rFonts w:hint="eastAsia"/>
        </w:rPr>
        <w:t>6　</w:t>
      </w:r>
      <w:bookmarkStart w:id="36" w:name="_Toc25412"/>
      <w:r>
        <w:rPr>
          <w:rFonts w:hint="eastAsia" w:ascii="Times New Roman"/>
          <w:szCs w:val="21"/>
        </w:rPr>
        <w:t>试验</w:t>
      </w:r>
      <w:bookmarkEnd w:id="36"/>
      <w:r>
        <w:rPr>
          <w:rFonts w:hint="eastAsia" w:ascii="Times New Roman"/>
          <w:szCs w:val="21"/>
        </w:rPr>
        <w:t>报告</w:t>
      </w:r>
      <w:bookmarkEnd w:id="35"/>
    </w:p>
    <w:p w14:paraId="1F2AC3E6">
      <w:pPr>
        <w:spacing w:before="156" w:beforeLines="50" w:after="156" w:afterLines="50"/>
        <w:ind w:firstLine="420" w:firstLineChars="200"/>
        <w:rPr>
          <w:rFonts w:hint="eastAsia"/>
        </w:rPr>
      </w:pPr>
      <w:r>
        <w:rPr>
          <w:rFonts w:hint="eastAsia"/>
        </w:rPr>
        <w:t>按照5.5条规定的方法计算试验结果，并按附录B的要求记录试验结果。</w:t>
      </w:r>
    </w:p>
    <w:p w14:paraId="61A5214F">
      <w:pPr>
        <w:pStyle w:val="25"/>
        <w:ind w:firstLine="420"/>
        <w:rPr>
          <w:rFonts w:hint="eastAsia"/>
        </w:rPr>
        <w:sectPr>
          <w:headerReference r:id="rId15" w:type="first"/>
          <w:footerReference r:id="rId18" w:type="first"/>
          <w:footerReference r:id="rId16" w:type="default"/>
          <w:headerReference r:id="rId14" w:type="even"/>
          <w:footerReference r:id="rId17" w:type="even"/>
          <w:pgSz w:w="11906" w:h="16838"/>
          <w:pgMar w:top="1418" w:right="1134" w:bottom="1134" w:left="1418" w:header="1417" w:footer="1134" w:gutter="0"/>
          <w:pgBorders>
            <w:top w:val="none" w:sz="0" w:space="0"/>
            <w:left w:val="none" w:sz="0" w:space="0"/>
            <w:bottom w:val="none" w:sz="0" w:space="0"/>
            <w:right w:val="none" w:sz="0" w:space="0"/>
          </w:pgBorders>
          <w:pgNumType w:start="1"/>
          <w:cols w:space="425" w:num="1"/>
          <w:titlePg/>
          <w:docGrid w:type="lines" w:linePitch="312" w:charSpace="0"/>
        </w:sect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2228850</wp:posOffset>
                </wp:positionH>
                <wp:positionV relativeFrom="paragraph">
                  <wp:posOffset>335915</wp:posOffset>
                </wp:positionV>
                <wp:extent cx="1422400" cy="0"/>
                <wp:effectExtent l="0" t="4445" r="0" b="5080"/>
                <wp:wrapNone/>
                <wp:docPr id="6" name="Line 116"/>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w:pict>
              <v:line id="Line 116" o:spid="_x0000_s1026" o:spt="20" style="position:absolute;left:0pt;margin-left:175.5pt;margin-top:26.45pt;height:0pt;width:112pt;z-index:251662336;mso-width-relative:page;mso-height-relative:page;" filled="f" stroked="t" coordsize="21600,21600" o:gfxdata="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senEHWAAAACQEAAA8AAAAAAAAAAQAgAAAAIgAAAGRycy9k&#10;b3ducmV2LnhtbFBLAQIUABQAAAAIAIdO4kBPQkRMywEAAKEDAAAOAAAAAAAAAAEAIAAAACUBAABk&#10;cnMvZTJvRG9jLnhtbFBLBQYAAAAABgAGAFkBAABiBQAAAAA=&#10;">
                <v:fill on="f" focussize="0,0"/>
                <v:stroke color="#000000" joinstyle="round"/>
                <v:imagedata o:title=""/>
                <o:lock v:ext="edit" aspectratio="f"/>
              </v:line>
            </w:pict>
          </mc:Fallback>
        </mc:AlternateContent>
      </w:r>
    </w:p>
    <w:p w14:paraId="2A4D186C">
      <w:pPr>
        <w:pStyle w:val="54"/>
        <w:rPr>
          <w:rFonts w:hint="eastAsia" w:ascii="黑体" w:hAnsi="黑体" w:eastAsia="黑体"/>
        </w:rPr>
      </w:pPr>
      <w:bookmarkStart w:id="37" w:name="_Toc25920"/>
      <w:r>
        <w:rPr>
          <w:rFonts w:hint="eastAsia"/>
        </w:rPr>
        <w:t>附　录　A</w:t>
      </w:r>
      <w:r>
        <w:rPr>
          <w:rFonts w:hint="eastAsia"/>
        </w:rPr>
        <w:br w:type="textWrapping"/>
      </w:r>
      <w:r>
        <w:rPr>
          <w:rFonts w:hint="eastAsia" w:ascii="黑体" w:hAnsi="黑体" w:eastAsia="黑体"/>
          <w:sz w:val="21"/>
          <w:szCs w:val="21"/>
        </w:rPr>
        <w:t>（规范性）</w:t>
      </w:r>
      <w:r>
        <w:rPr>
          <w:rFonts w:hint="eastAsia"/>
          <w:sz w:val="21"/>
          <w:szCs w:val="21"/>
        </w:rPr>
        <w:br w:type="textWrapping"/>
      </w:r>
      <w:r>
        <w:rPr>
          <w:rFonts w:hint="eastAsia" w:ascii="黑体" w:hAnsi="黑体" w:eastAsia="黑体"/>
          <w:sz w:val="21"/>
          <w:szCs w:val="21"/>
        </w:rPr>
        <w:t>注意事项</w:t>
      </w:r>
      <w:bookmarkEnd w:id="37"/>
    </w:p>
    <w:p w14:paraId="6DFBD74C">
      <w:pPr>
        <w:pStyle w:val="38"/>
        <w:rPr>
          <w:rFonts w:hint="eastAsia" w:cs="黑体"/>
          <w:color w:val="000000"/>
        </w:rPr>
      </w:pPr>
      <w:bookmarkStart w:id="38" w:name="_Toc8084"/>
      <w:bookmarkStart w:id="39" w:name="_Toc26116"/>
      <w:r>
        <w:rPr>
          <w:rFonts w:hint="eastAsia" w:cs="黑体"/>
          <w:color w:val="000000"/>
        </w:rPr>
        <w:t>A.1</w:t>
      </w:r>
      <w:r>
        <w:rPr>
          <w:rFonts w:hint="eastAsia"/>
        </w:rPr>
        <w:t>　</w:t>
      </w:r>
      <w:r>
        <w:rPr>
          <w:rFonts w:hint="eastAsia" w:cs="黑体"/>
          <w:color w:val="000000"/>
        </w:rPr>
        <w:t>燃料</w:t>
      </w:r>
      <w:bookmarkEnd w:id="38"/>
      <w:bookmarkEnd w:id="39"/>
    </w:p>
    <w:p w14:paraId="717F5E11">
      <w:pPr>
        <w:ind w:firstLine="420" w:firstLineChars="200"/>
        <w:rPr>
          <w:rFonts w:ascii="Calibri" w:hAnsi="Calibri" w:cs="Times New Roman"/>
          <w:szCs w:val="21"/>
        </w:rPr>
      </w:pPr>
      <w:r>
        <w:rPr>
          <w:rFonts w:hint="eastAsia" w:ascii="Calibri" w:hAnsi="Calibri" w:cs="Times New Roman"/>
          <w:szCs w:val="21"/>
        </w:rPr>
        <w:t>规范燃料管路布置，设置燃料温度、压力、泄露监测与报警装置，减少因不安全因素造成的安全事件。</w:t>
      </w:r>
    </w:p>
    <w:p w14:paraId="3E489BE6">
      <w:pPr>
        <w:pStyle w:val="38"/>
        <w:rPr>
          <w:rFonts w:hint="eastAsia" w:cs="黑体"/>
          <w:color w:val="000000"/>
        </w:rPr>
      </w:pPr>
      <w:bookmarkStart w:id="40" w:name="_Toc25447"/>
      <w:bookmarkStart w:id="41" w:name="_Toc17403"/>
      <w:r>
        <w:rPr>
          <w:rFonts w:hint="eastAsia" w:cs="黑体"/>
          <w:color w:val="000000"/>
        </w:rPr>
        <w:t>A.2</w:t>
      </w:r>
      <w:r>
        <w:rPr>
          <w:rFonts w:hint="eastAsia"/>
        </w:rPr>
        <w:t>　</w:t>
      </w:r>
      <w:r>
        <w:rPr>
          <w:rFonts w:hint="eastAsia" w:cs="黑体"/>
          <w:color w:val="000000"/>
        </w:rPr>
        <w:t>机械安全</w:t>
      </w:r>
      <w:bookmarkEnd w:id="40"/>
      <w:bookmarkEnd w:id="41"/>
    </w:p>
    <w:p w14:paraId="0291ABC9">
      <w:pPr>
        <w:ind w:firstLine="420" w:firstLineChars="200"/>
        <w:rPr>
          <w:rFonts w:ascii="Calibri" w:hAnsi="Calibri" w:cs="Times New Roman"/>
          <w:szCs w:val="21"/>
        </w:rPr>
      </w:pPr>
      <w:r>
        <w:rPr>
          <w:rFonts w:hint="eastAsia" w:ascii="Calibri" w:hAnsi="Calibri" w:cs="Times New Roman"/>
          <w:szCs w:val="21"/>
        </w:rPr>
        <w:t>发动机台架安装，做好紧固件安全状态标志，每次试验前做好点检，确保发动机各部件都处于安全链接状态。</w:t>
      </w:r>
    </w:p>
    <w:p w14:paraId="297800B5">
      <w:pPr>
        <w:pStyle w:val="38"/>
        <w:rPr>
          <w:rFonts w:hint="eastAsia" w:cs="黑体"/>
          <w:color w:val="000000"/>
        </w:rPr>
      </w:pPr>
      <w:bookmarkStart w:id="42" w:name="_Toc21767"/>
      <w:bookmarkStart w:id="43" w:name="_Toc16401"/>
      <w:r>
        <w:rPr>
          <w:rFonts w:hint="eastAsia" w:cs="黑体"/>
          <w:color w:val="000000"/>
        </w:rPr>
        <w:t>A.3</w:t>
      </w:r>
      <w:r>
        <w:rPr>
          <w:rFonts w:hint="eastAsia"/>
        </w:rPr>
        <w:t>　</w:t>
      </w:r>
      <w:r>
        <w:rPr>
          <w:rFonts w:hint="eastAsia" w:cs="黑体"/>
          <w:color w:val="000000"/>
        </w:rPr>
        <w:t>标气</w:t>
      </w:r>
      <w:bookmarkEnd w:id="42"/>
      <w:bookmarkEnd w:id="43"/>
    </w:p>
    <w:p w14:paraId="7BBFEC8E">
      <w:pPr>
        <w:pStyle w:val="2"/>
        <w:ind w:firstLine="420" w:firstLineChars="200"/>
        <w:rPr>
          <w:rFonts w:hint="eastAsia"/>
        </w:rPr>
      </w:pPr>
      <w:r>
        <w:rPr>
          <w:rFonts w:hint="eastAsia" w:ascii="Calibri" w:hAnsi="Calibri" w:cs="Times New Roman"/>
          <w:szCs w:val="21"/>
        </w:rPr>
        <w:t>试验过程所用标气均需要单独存放，定期检查，标气间设置强制通风、气体浓度检查与报警装置，失效及不合规标气禁用。</w:t>
      </w:r>
    </w:p>
    <w:p w14:paraId="3548E682">
      <w:pPr>
        <w:pStyle w:val="54"/>
        <w:sectPr>
          <w:headerReference r:id="rId19" w:type="first"/>
          <w:footerReference r:id="rId22" w:type="first"/>
          <w:footerReference r:id="rId20" w:type="default"/>
          <w:footerReference r:id="rId21" w:type="even"/>
          <w:pgSz w:w="11906" w:h="16838"/>
          <w:pgMar w:top="1418" w:right="1134" w:bottom="1134" w:left="1418" w:header="1418" w:footer="1134" w:gutter="0"/>
          <w:pgBorders>
            <w:top w:val="none" w:sz="0" w:space="0"/>
            <w:left w:val="none" w:sz="0" w:space="0"/>
            <w:bottom w:val="none" w:sz="0" w:space="0"/>
            <w:right w:val="none" w:sz="0" w:space="0"/>
          </w:pgBorders>
          <w:cols w:space="425" w:num="1"/>
          <w:titlePg/>
          <w:docGrid w:type="lines" w:linePitch="312" w:charSpace="0"/>
        </w:sectPr>
      </w:pPr>
    </w:p>
    <w:p w14:paraId="05F371E1">
      <w:pPr>
        <w:pStyle w:val="54"/>
        <w:rPr>
          <w:rFonts w:hint="eastAsia" w:ascii="黑体" w:hAnsi="黑体" w:eastAsia="黑体"/>
          <w:sz w:val="21"/>
          <w:szCs w:val="21"/>
        </w:rPr>
      </w:pPr>
      <w:bookmarkStart w:id="44" w:name="_Toc9634"/>
      <w:r>
        <w:rPr>
          <w:rFonts w:hint="eastAsia"/>
        </w:rPr>
        <w:t>附　录　B</w:t>
      </w:r>
      <w:r>
        <w:rPr>
          <w:rFonts w:hint="eastAsia"/>
        </w:rPr>
        <w:br w:type="textWrapping"/>
      </w:r>
      <w:r>
        <w:rPr>
          <w:rFonts w:hint="eastAsia" w:ascii="黑体" w:hAnsi="黑体" w:eastAsia="黑体"/>
          <w:sz w:val="21"/>
          <w:szCs w:val="21"/>
        </w:rPr>
        <w:t>（</w:t>
      </w:r>
      <w:r>
        <w:rPr>
          <w:rFonts w:hint="eastAsia" w:ascii="黑体" w:hAnsi="黑体" w:eastAsia="黑体" w:cs="黑体"/>
          <w:sz w:val="21"/>
          <w:szCs w:val="21"/>
        </w:rPr>
        <w:t>资料性</w:t>
      </w:r>
      <w:r>
        <w:rPr>
          <w:rFonts w:hint="eastAsia" w:ascii="黑体" w:hAnsi="黑体" w:eastAsia="黑体"/>
          <w:sz w:val="21"/>
          <w:szCs w:val="21"/>
        </w:rPr>
        <w:t>）</w:t>
      </w:r>
      <w:r>
        <w:rPr>
          <w:rFonts w:hint="eastAsia"/>
          <w:sz w:val="21"/>
          <w:szCs w:val="21"/>
        </w:rPr>
        <w:br w:type="textWrapping"/>
      </w:r>
      <w:r>
        <w:rPr>
          <w:rFonts w:hint="eastAsia" w:ascii="黑体" w:hAnsi="黑体" w:eastAsia="黑体" w:cs="黑体"/>
          <w:sz w:val="21"/>
          <w:szCs w:val="21"/>
        </w:rPr>
        <w:t>非道路柴油移动机械高原排气污染物车载法试验结果记录表</w:t>
      </w:r>
      <w:bookmarkEnd w:id="44"/>
    </w:p>
    <w:p w14:paraId="6764833A">
      <w:pPr>
        <w:pStyle w:val="38"/>
        <w:rPr>
          <w:rFonts w:hint="eastAsia"/>
        </w:rPr>
      </w:pPr>
      <w:bookmarkStart w:id="45" w:name="_Toc12819"/>
      <w:bookmarkStart w:id="46" w:name="_Toc26214"/>
      <w:r>
        <w:rPr>
          <w:rFonts w:hint="eastAsia"/>
        </w:rPr>
        <w:t>B.1　</w:t>
      </w:r>
      <w:r>
        <w:rPr>
          <w:rFonts w:hint="eastAsia" w:cs="黑体"/>
        </w:rPr>
        <w:t>样品信息及检验条件</w:t>
      </w:r>
      <w:bookmarkEnd w:id="45"/>
      <w:bookmarkEnd w:id="46"/>
    </w:p>
    <w:p w14:paraId="160B34A5">
      <w:pPr>
        <w:pStyle w:val="40"/>
        <w:rPr>
          <w:rFonts w:hint="eastAsia"/>
        </w:rPr>
      </w:pPr>
      <w:bookmarkStart w:id="47" w:name="_Toc10787"/>
      <w:bookmarkStart w:id="48" w:name="_Toc4836"/>
      <w:r>
        <w:rPr>
          <w:rFonts w:hint="eastAsia" w:cs="黑体"/>
        </w:rPr>
        <w:t>B.1.1</w:t>
      </w:r>
      <w:r>
        <w:rPr>
          <w:rFonts w:hint="eastAsia"/>
        </w:rPr>
        <w:t>　</w:t>
      </w:r>
      <w:r>
        <w:rPr>
          <w:rFonts w:hint="eastAsia" w:cs="黑体"/>
        </w:rPr>
        <w:t>样品信息</w:t>
      </w:r>
      <w:bookmarkEnd w:id="47"/>
      <w:bookmarkEnd w:id="48"/>
    </w:p>
    <w:p w14:paraId="46EF58FC">
      <w:pPr>
        <w:snapToGrid w:val="0"/>
        <w:ind w:left="-7" w:firstLine="7"/>
        <w:rPr>
          <w:rFonts w:hint="eastAsia" w:cs="宋体"/>
          <w:szCs w:val="21"/>
        </w:rPr>
      </w:pPr>
      <w:r>
        <w:rPr>
          <w:rFonts w:hint="eastAsia" w:cs="宋体"/>
          <w:szCs w:val="21"/>
        </w:rPr>
        <w:t>机械名称：</w:t>
      </w:r>
      <w:r>
        <w:rPr>
          <w:rFonts w:hint="eastAsia" w:cs="宋体"/>
          <w:szCs w:val="21"/>
          <w:u w:val="single"/>
        </w:rPr>
        <w:t xml:space="preserve">                           </w:t>
      </w:r>
      <w:r>
        <w:rPr>
          <w:rFonts w:hint="eastAsia" w:cs="宋体"/>
          <w:szCs w:val="21"/>
        </w:rPr>
        <w:t xml:space="preserve">               机械型号：</w:t>
      </w:r>
      <w:r>
        <w:rPr>
          <w:rFonts w:hint="eastAsia" w:cs="宋体"/>
          <w:szCs w:val="21"/>
          <w:u w:val="single"/>
        </w:rPr>
        <w:t xml:space="preserve">                           </w:t>
      </w:r>
    </w:p>
    <w:p w14:paraId="67359A7B">
      <w:pPr>
        <w:ind w:left="-7" w:firstLine="7"/>
        <w:rPr>
          <w:rFonts w:hint="eastAsia" w:cs="宋体"/>
          <w:szCs w:val="21"/>
          <w:u w:val="single"/>
        </w:rPr>
      </w:pPr>
      <w:r>
        <w:rPr>
          <w:rFonts w:hint="eastAsia" w:cs="宋体"/>
          <w:szCs w:val="21"/>
        </w:rPr>
        <w:t>生产厂家：</w:t>
      </w:r>
      <w:r>
        <w:rPr>
          <w:rFonts w:hint="eastAsia" w:cs="宋体"/>
          <w:szCs w:val="21"/>
          <w:u w:val="single"/>
        </w:rPr>
        <w:t xml:space="preserve">                           </w:t>
      </w:r>
      <w:r>
        <w:rPr>
          <w:rFonts w:hint="eastAsia" w:cs="宋体"/>
          <w:szCs w:val="21"/>
        </w:rPr>
        <w:t xml:space="preserve">               机械类别：</w:t>
      </w:r>
      <w:r>
        <w:rPr>
          <w:rFonts w:hint="eastAsia" w:cs="宋体"/>
          <w:szCs w:val="21"/>
          <w:u w:val="single"/>
        </w:rPr>
        <w:t xml:space="preserve">                           </w:t>
      </w:r>
    </w:p>
    <w:p w14:paraId="0E743FD9">
      <w:pPr>
        <w:ind w:left="-7" w:right="-105" w:rightChars="-50" w:firstLine="7"/>
        <w:rPr>
          <w:rFonts w:hint="eastAsia" w:cs="宋体"/>
          <w:szCs w:val="21"/>
          <w:u w:val="single"/>
        </w:rPr>
      </w:pPr>
      <w:r>
        <w:rPr>
          <w:rFonts w:hint="eastAsia" w:cs="宋体"/>
          <w:szCs w:val="21"/>
        </w:rPr>
        <w:t>运行时间读数h：</w:t>
      </w:r>
      <w:r>
        <w:rPr>
          <w:rFonts w:hint="eastAsia" w:cs="宋体"/>
          <w:szCs w:val="21"/>
          <w:u w:val="single"/>
        </w:rPr>
        <w:t xml:space="preserve">                      </w:t>
      </w:r>
      <w:r>
        <w:rPr>
          <w:rFonts w:hint="eastAsia" w:cs="宋体"/>
          <w:szCs w:val="21"/>
        </w:rPr>
        <w:t xml:space="preserve">               机械状况：</w:t>
      </w:r>
      <w:r>
        <w:rPr>
          <w:rFonts w:hint="eastAsia" w:cs="宋体"/>
          <w:szCs w:val="21"/>
          <w:u w:val="single"/>
        </w:rPr>
        <w:t xml:space="preserve">                          </w:t>
      </w:r>
    </w:p>
    <w:p w14:paraId="1CC20F2C">
      <w:pPr>
        <w:pStyle w:val="2"/>
        <w:rPr>
          <w:rFonts w:hint="eastAsia" w:cs="宋体"/>
        </w:rPr>
      </w:pPr>
      <w:r>
        <w:rPr>
          <w:rFonts w:hint="eastAsia" w:cs="宋体"/>
          <w:szCs w:val="21"/>
        </w:rPr>
        <w:t>燃料类型：</w:t>
      </w:r>
      <w:r>
        <w:rPr>
          <w:rFonts w:hint="eastAsia" w:cs="宋体"/>
          <w:szCs w:val="21"/>
          <w:u w:val="single"/>
        </w:rPr>
        <w:t xml:space="preserve">                            </w:t>
      </w:r>
      <w:r>
        <w:rPr>
          <w:rFonts w:hint="eastAsia" w:cs="宋体"/>
          <w:szCs w:val="21"/>
        </w:rPr>
        <w:t xml:space="preserve">         反应剂规格型号：</w:t>
      </w:r>
      <w:r>
        <w:rPr>
          <w:rFonts w:hint="eastAsia" w:cs="宋体"/>
          <w:szCs w:val="21"/>
          <w:u w:val="single"/>
        </w:rPr>
        <w:t xml:space="preserve">                          </w:t>
      </w:r>
    </w:p>
    <w:p w14:paraId="5BCCCC52">
      <w:pPr>
        <w:ind w:left="-7" w:firstLine="7"/>
        <w:rPr>
          <w:rFonts w:hint="eastAsia" w:cs="宋体"/>
          <w:szCs w:val="21"/>
          <w:u w:val="single"/>
        </w:rPr>
      </w:pPr>
      <w:r>
        <w:rPr>
          <w:rFonts w:hint="eastAsia" w:cs="宋体"/>
          <w:szCs w:val="21"/>
        </w:rPr>
        <w:t xml:space="preserve">产品识别代码： </w:t>
      </w:r>
      <w:r>
        <w:rPr>
          <w:rFonts w:hint="eastAsia" w:cs="宋体"/>
          <w:szCs w:val="21"/>
          <w:u w:val="single"/>
        </w:rPr>
        <w:t xml:space="preserve">                       </w:t>
      </w:r>
      <w:r>
        <w:rPr>
          <w:rFonts w:hint="eastAsia" w:cs="宋体"/>
          <w:szCs w:val="21"/>
        </w:rPr>
        <w:t xml:space="preserve">              生产日期：</w:t>
      </w:r>
      <w:r>
        <w:rPr>
          <w:rFonts w:hint="eastAsia" w:cs="宋体"/>
          <w:szCs w:val="21"/>
          <w:u w:val="single"/>
        </w:rPr>
        <w:t xml:space="preserve">                           </w:t>
      </w:r>
    </w:p>
    <w:p w14:paraId="5AC74E9D">
      <w:pPr>
        <w:ind w:left="-7" w:firstLine="7"/>
        <w:rPr>
          <w:rFonts w:hint="eastAsia" w:cs="宋体"/>
          <w:szCs w:val="21"/>
          <w:u w:val="single"/>
        </w:rPr>
      </w:pPr>
      <w:r>
        <w:rPr>
          <w:rFonts w:hint="eastAsia" w:cs="宋体"/>
          <w:szCs w:val="21"/>
        </w:rPr>
        <w:t xml:space="preserve">发动机厂家： </w:t>
      </w:r>
      <w:r>
        <w:rPr>
          <w:rFonts w:hint="eastAsia" w:cs="宋体"/>
          <w:szCs w:val="21"/>
          <w:u w:val="single"/>
        </w:rPr>
        <w:t xml:space="preserve">                         </w:t>
      </w:r>
      <w:r>
        <w:rPr>
          <w:rFonts w:hint="eastAsia" w:cs="宋体"/>
          <w:szCs w:val="21"/>
        </w:rPr>
        <w:t xml:space="preserve">              发动机型号：</w:t>
      </w:r>
      <w:r>
        <w:rPr>
          <w:rFonts w:hint="eastAsia" w:cs="宋体"/>
          <w:szCs w:val="21"/>
          <w:u w:val="single"/>
        </w:rPr>
        <w:t xml:space="preserve">                         </w:t>
      </w:r>
    </w:p>
    <w:p w14:paraId="2B1FBB4C">
      <w:pPr>
        <w:ind w:left="-7" w:firstLine="7"/>
        <w:rPr>
          <w:rFonts w:hint="eastAsia" w:cs="宋体"/>
          <w:szCs w:val="21"/>
        </w:rPr>
      </w:pPr>
      <w:r>
        <w:rPr>
          <w:rFonts w:hint="eastAsia" w:cs="宋体"/>
          <w:szCs w:val="21"/>
        </w:rPr>
        <w:t>额定净功率/转速(kW/r/min)：</w:t>
      </w:r>
      <w:r>
        <w:rPr>
          <w:rFonts w:hint="eastAsia" w:cs="宋体"/>
          <w:szCs w:val="21"/>
          <w:u w:val="single"/>
        </w:rPr>
        <w:t xml:space="preserve">                                                               </w:t>
      </w:r>
    </w:p>
    <w:p w14:paraId="7B61196A">
      <w:pPr>
        <w:ind w:left="-7" w:firstLine="7"/>
        <w:rPr>
          <w:rFonts w:hint="eastAsia"/>
        </w:rPr>
      </w:pPr>
      <w:r>
        <w:rPr>
          <w:rFonts w:hint="eastAsia" w:cs="宋体"/>
          <w:szCs w:val="21"/>
        </w:rPr>
        <w:t>最大扭矩/转速(N·m/r/min)：</w:t>
      </w:r>
      <w:r>
        <w:rPr>
          <w:rFonts w:hint="eastAsia" w:cs="宋体"/>
          <w:szCs w:val="21"/>
          <w:u w:val="single"/>
        </w:rPr>
        <w:t xml:space="preserve">                                                                </w:t>
      </w:r>
    </w:p>
    <w:p w14:paraId="5718EA4C">
      <w:pPr>
        <w:pStyle w:val="40"/>
        <w:rPr>
          <w:rFonts w:hint="eastAsia"/>
        </w:rPr>
      </w:pPr>
      <w:bookmarkStart w:id="49" w:name="_Toc24925"/>
      <w:bookmarkStart w:id="50" w:name="_Toc14200"/>
      <w:r>
        <w:rPr>
          <w:rFonts w:hint="eastAsia"/>
        </w:rPr>
        <w:t>B.1.2　检验条件</w:t>
      </w:r>
      <w:bookmarkEnd w:id="49"/>
      <w:bookmarkEnd w:id="50"/>
    </w:p>
    <w:tbl>
      <w:tblPr>
        <w:tblStyle w:val="18"/>
        <w:tblW w:w="9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38"/>
        <w:gridCol w:w="1588"/>
        <w:gridCol w:w="3143"/>
        <w:gridCol w:w="1728"/>
      </w:tblGrid>
      <w:tr w14:paraId="2625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rPr>
        <w:tc>
          <w:tcPr>
            <w:tcW w:w="2938" w:type="dxa"/>
            <w:tcBorders>
              <w:top w:val="single" w:color="auto" w:sz="12" w:space="0"/>
              <w:left w:val="single" w:color="auto" w:sz="12" w:space="0"/>
              <w:bottom w:val="single" w:color="auto" w:sz="4" w:space="0"/>
              <w:right w:val="single" w:color="auto" w:sz="4" w:space="0"/>
            </w:tcBorders>
            <w:vAlign w:val="center"/>
          </w:tcPr>
          <w:p w14:paraId="71E149F0">
            <w:pPr>
              <w:spacing w:line="360" w:lineRule="auto"/>
              <w:jc w:val="center"/>
              <w:rPr>
                <w:rFonts w:hint="eastAsia" w:cs="宋体"/>
                <w:sz w:val="18"/>
                <w:szCs w:val="18"/>
              </w:rPr>
            </w:pPr>
            <w:r>
              <w:rPr>
                <w:rFonts w:hint="eastAsia" w:cs="宋体"/>
                <w:sz w:val="18"/>
                <w:szCs w:val="18"/>
              </w:rPr>
              <w:t>海拔高度(m)</w:t>
            </w:r>
          </w:p>
        </w:tc>
        <w:tc>
          <w:tcPr>
            <w:tcW w:w="1588" w:type="dxa"/>
            <w:tcBorders>
              <w:top w:val="single" w:color="auto" w:sz="12" w:space="0"/>
              <w:left w:val="single" w:color="auto" w:sz="4" w:space="0"/>
              <w:bottom w:val="single" w:color="auto" w:sz="4" w:space="0"/>
              <w:right w:val="single" w:color="auto" w:sz="4" w:space="0"/>
            </w:tcBorders>
            <w:vAlign w:val="center"/>
          </w:tcPr>
          <w:p w14:paraId="6ADE5E57">
            <w:pPr>
              <w:spacing w:line="360" w:lineRule="auto"/>
              <w:ind w:left="-7" w:firstLine="7"/>
              <w:jc w:val="center"/>
              <w:rPr>
                <w:rFonts w:hint="eastAsia" w:cs="宋体"/>
                <w:sz w:val="18"/>
                <w:szCs w:val="18"/>
              </w:rPr>
            </w:pPr>
          </w:p>
        </w:tc>
        <w:tc>
          <w:tcPr>
            <w:tcW w:w="3143" w:type="dxa"/>
            <w:tcBorders>
              <w:top w:val="single" w:color="auto" w:sz="12" w:space="0"/>
              <w:left w:val="single" w:color="auto" w:sz="4" w:space="0"/>
              <w:bottom w:val="single" w:color="auto" w:sz="4" w:space="0"/>
              <w:right w:val="single" w:color="auto" w:sz="4" w:space="0"/>
            </w:tcBorders>
            <w:vAlign w:val="center"/>
          </w:tcPr>
          <w:p w14:paraId="6FD62E02">
            <w:pPr>
              <w:spacing w:line="360" w:lineRule="auto"/>
              <w:ind w:left="-7" w:firstLine="7"/>
              <w:jc w:val="center"/>
              <w:rPr>
                <w:rFonts w:hint="eastAsia" w:cs="宋体"/>
                <w:sz w:val="18"/>
                <w:szCs w:val="18"/>
              </w:rPr>
            </w:pPr>
            <w:r>
              <w:rPr>
                <w:rFonts w:hint="eastAsia" w:cs="宋体"/>
                <w:sz w:val="18"/>
                <w:szCs w:val="18"/>
              </w:rPr>
              <w:t>环境温度(℃)</w:t>
            </w:r>
          </w:p>
        </w:tc>
        <w:tc>
          <w:tcPr>
            <w:tcW w:w="1728" w:type="dxa"/>
            <w:tcBorders>
              <w:top w:val="single" w:color="auto" w:sz="12" w:space="0"/>
              <w:left w:val="single" w:color="auto" w:sz="4" w:space="0"/>
              <w:bottom w:val="single" w:color="auto" w:sz="4" w:space="0"/>
              <w:right w:val="single" w:color="auto" w:sz="12" w:space="0"/>
            </w:tcBorders>
            <w:vAlign w:val="center"/>
          </w:tcPr>
          <w:p w14:paraId="06AFED0E">
            <w:pPr>
              <w:spacing w:line="360" w:lineRule="auto"/>
              <w:ind w:left="-7" w:firstLine="7"/>
              <w:jc w:val="center"/>
              <w:rPr>
                <w:rFonts w:hint="eastAsia" w:cs="宋体"/>
                <w:sz w:val="18"/>
                <w:szCs w:val="18"/>
              </w:rPr>
            </w:pPr>
          </w:p>
        </w:tc>
      </w:tr>
      <w:tr w14:paraId="67C5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rPr>
        <w:tc>
          <w:tcPr>
            <w:tcW w:w="2938" w:type="dxa"/>
            <w:tcBorders>
              <w:top w:val="single" w:color="auto" w:sz="4" w:space="0"/>
              <w:left w:val="single" w:color="auto" w:sz="12" w:space="0"/>
              <w:bottom w:val="single" w:color="auto" w:sz="12" w:space="0"/>
              <w:right w:val="single" w:color="auto" w:sz="4" w:space="0"/>
            </w:tcBorders>
            <w:vAlign w:val="center"/>
          </w:tcPr>
          <w:p w14:paraId="1574A78A">
            <w:pPr>
              <w:spacing w:line="360" w:lineRule="auto"/>
              <w:jc w:val="center"/>
              <w:rPr>
                <w:rFonts w:hint="eastAsia" w:cs="宋体"/>
                <w:sz w:val="18"/>
                <w:szCs w:val="18"/>
              </w:rPr>
            </w:pPr>
            <w:r>
              <w:rPr>
                <w:rFonts w:hint="eastAsia" w:cs="宋体"/>
                <w:sz w:val="18"/>
                <w:szCs w:val="18"/>
              </w:rPr>
              <w:t>环境湿度(%)</w:t>
            </w:r>
          </w:p>
        </w:tc>
        <w:tc>
          <w:tcPr>
            <w:tcW w:w="1588" w:type="dxa"/>
            <w:tcBorders>
              <w:top w:val="single" w:color="auto" w:sz="4" w:space="0"/>
              <w:left w:val="single" w:color="auto" w:sz="4" w:space="0"/>
              <w:bottom w:val="single" w:color="auto" w:sz="12" w:space="0"/>
              <w:right w:val="single" w:color="auto" w:sz="4" w:space="0"/>
            </w:tcBorders>
            <w:vAlign w:val="center"/>
          </w:tcPr>
          <w:p w14:paraId="374C28EF">
            <w:pPr>
              <w:spacing w:line="360" w:lineRule="auto"/>
              <w:ind w:left="-7" w:firstLine="7"/>
              <w:jc w:val="center"/>
              <w:rPr>
                <w:rFonts w:hint="eastAsia" w:cs="宋体"/>
                <w:sz w:val="18"/>
                <w:szCs w:val="18"/>
              </w:rPr>
            </w:pPr>
          </w:p>
        </w:tc>
        <w:tc>
          <w:tcPr>
            <w:tcW w:w="3143" w:type="dxa"/>
            <w:tcBorders>
              <w:top w:val="single" w:color="auto" w:sz="4" w:space="0"/>
              <w:left w:val="single" w:color="auto" w:sz="4" w:space="0"/>
              <w:bottom w:val="single" w:color="auto" w:sz="12" w:space="0"/>
              <w:right w:val="single" w:color="auto" w:sz="4" w:space="0"/>
            </w:tcBorders>
            <w:vAlign w:val="center"/>
          </w:tcPr>
          <w:p w14:paraId="7FCB1D74">
            <w:pPr>
              <w:spacing w:line="360" w:lineRule="auto"/>
              <w:ind w:left="-7" w:firstLine="7"/>
              <w:jc w:val="center"/>
              <w:rPr>
                <w:rFonts w:hint="eastAsia" w:cs="宋体"/>
                <w:sz w:val="18"/>
                <w:szCs w:val="18"/>
              </w:rPr>
            </w:pPr>
            <w:r>
              <w:rPr>
                <w:rFonts w:hint="eastAsia" w:cs="宋体"/>
                <w:sz w:val="18"/>
                <w:szCs w:val="18"/>
              </w:rPr>
              <w:t>大气压力(kPa)</w:t>
            </w:r>
          </w:p>
        </w:tc>
        <w:tc>
          <w:tcPr>
            <w:tcW w:w="1728" w:type="dxa"/>
            <w:tcBorders>
              <w:top w:val="single" w:color="auto" w:sz="4" w:space="0"/>
              <w:left w:val="single" w:color="auto" w:sz="4" w:space="0"/>
              <w:bottom w:val="single" w:color="auto" w:sz="12" w:space="0"/>
              <w:right w:val="single" w:color="auto" w:sz="12" w:space="0"/>
            </w:tcBorders>
            <w:vAlign w:val="center"/>
          </w:tcPr>
          <w:p w14:paraId="2E35FA08">
            <w:pPr>
              <w:spacing w:line="360" w:lineRule="auto"/>
              <w:ind w:left="-7" w:firstLine="7"/>
              <w:jc w:val="center"/>
              <w:rPr>
                <w:rFonts w:hint="eastAsia" w:cs="宋体"/>
                <w:sz w:val="18"/>
                <w:szCs w:val="18"/>
              </w:rPr>
            </w:pPr>
          </w:p>
        </w:tc>
      </w:tr>
    </w:tbl>
    <w:p w14:paraId="297E3F69">
      <w:pPr>
        <w:pStyle w:val="38"/>
        <w:rPr>
          <w:rFonts w:hint="eastAsia"/>
        </w:rPr>
      </w:pPr>
      <w:bookmarkStart w:id="51" w:name="_Toc10302"/>
      <w:bookmarkStart w:id="52" w:name="_Toc91"/>
      <w:r>
        <w:rPr>
          <w:rFonts w:hint="eastAsia"/>
        </w:rPr>
        <w:t>B.2　</w:t>
      </w:r>
      <w:r>
        <w:rPr>
          <w:rFonts w:hint="eastAsia" w:cs="黑体"/>
        </w:rPr>
        <w:t>试验结果</w:t>
      </w:r>
      <w:bookmarkEnd w:id="51"/>
      <w:bookmarkEnd w:id="52"/>
    </w:p>
    <w:p w14:paraId="6B5365F3">
      <w:pPr>
        <w:pStyle w:val="40"/>
        <w:rPr>
          <w:rFonts w:hint="eastAsia"/>
        </w:rPr>
      </w:pPr>
      <w:bookmarkStart w:id="53" w:name="_Toc11407"/>
      <w:bookmarkStart w:id="54" w:name="_Toc25687"/>
      <w:r>
        <w:rPr>
          <w:rFonts w:hint="eastAsia" w:cs="黑体"/>
        </w:rPr>
        <w:t>B.2.1</w:t>
      </w:r>
      <w:r>
        <w:rPr>
          <w:rFonts w:hint="eastAsia"/>
        </w:rPr>
        <w:t>　</w:t>
      </w:r>
      <w:r>
        <w:rPr>
          <w:rFonts w:hint="eastAsia" w:cs="黑体"/>
        </w:rPr>
        <w:t>PEMS试验结果</w:t>
      </w:r>
      <w:bookmarkEnd w:id="53"/>
      <w:bookmarkEnd w:id="54"/>
    </w:p>
    <w:tbl>
      <w:tblPr>
        <w:tblStyle w:val="19"/>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5"/>
        <w:gridCol w:w="1043"/>
        <w:gridCol w:w="2596"/>
        <w:gridCol w:w="2242"/>
        <w:gridCol w:w="1552"/>
      </w:tblGrid>
      <w:tr w14:paraId="0AA0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tcBorders>
              <w:top w:val="single" w:color="000000" w:sz="12" w:space="0"/>
              <w:left w:val="single" w:color="000000" w:sz="12" w:space="0"/>
              <w:bottom w:val="single" w:color="000000" w:sz="4" w:space="0"/>
              <w:right w:val="single" w:color="000000" w:sz="4" w:space="0"/>
            </w:tcBorders>
            <w:vAlign w:val="center"/>
          </w:tcPr>
          <w:p w14:paraId="797B0E10">
            <w:pPr>
              <w:spacing w:line="360" w:lineRule="auto"/>
              <w:jc w:val="center"/>
              <w:rPr>
                <w:rFonts w:hint="eastAsia" w:cs="宋体"/>
                <w:sz w:val="18"/>
                <w:szCs w:val="18"/>
              </w:rPr>
            </w:pPr>
            <w:r>
              <w:rPr>
                <w:rFonts w:hint="eastAsia" w:cs="宋体"/>
                <w:sz w:val="18"/>
                <w:szCs w:val="18"/>
              </w:rPr>
              <w:t>额定净功率（kW）</w:t>
            </w:r>
          </w:p>
        </w:tc>
        <w:tc>
          <w:tcPr>
            <w:tcW w:w="552" w:type="pct"/>
            <w:tcBorders>
              <w:top w:val="single" w:color="000000" w:sz="12" w:space="0"/>
              <w:left w:val="single" w:color="000000" w:sz="4" w:space="0"/>
              <w:bottom w:val="single" w:color="000000" w:sz="4" w:space="0"/>
              <w:right w:val="single" w:color="000000" w:sz="4" w:space="0"/>
            </w:tcBorders>
            <w:vAlign w:val="center"/>
          </w:tcPr>
          <w:p w14:paraId="00D78682">
            <w:pPr>
              <w:spacing w:line="360" w:lineRule="auto"/>
              <w:jc w:val="center"/>
              <w:rPr>
                <w:rFonts w:hint="eastAsia" w:cs="宋体"/>
                <w:sz w:val="18"/>
                <w:szCs w:val="18"/>
              </w:rPr>
            </w:pPr>
            <w:r>
              <w:rPr>
                <w:rFonts w:hint="eastAsia" w:cs="宋体"/>
                <w:sz w:val="18"/>
                <w:szCs w:val="18"/>
              </w:rPr>
              <w:t>污染物</w:t>
            </w:r>
          </w:p>
        </w:tc>
        <w:tc>
          <w:tcPr>
            <w:tcW w:w="1374" w:type="pct"/>
            <w:tcBorders>
              <w:top w:val="single" w:color="000000" w:sz="12" w:space="0"/>
              <w:left w:val="single" w:color="000000" w:sz="4" w:space="0"/>
              <w:bottom w:val="single" w:color="000000" w:sz="4" w:space="0"/>
              <w:right w:val="single" w:color="000000" w:sz="4" w:space="0"/>
            </w:tcBorders>
            <w:vAlign w:val="center"/>
          </w:tcPr>
          <w:p w14:paraId="674FE518">
            <w:pPr>
              <w:spacing w:line="360" w:lineRule="auto"/>
              <w:jc w:val="center"/>
              <w:rPr>
                <w:rFonts w:hint="eastAsia" w:cs="宋体"/>
                <w:sz w:val="18"/>
                <w:szCs w:val="18"/>
              </w:rPr>
            </w:pPr>
            <w:r>
              <w:rPr>
                <w:rFonts w:hint="eastAsia" w:cs="宋体"/>
                <w:sz w:val="18"/>
                <w:szCs w:val="18"/>
              </w:rPr>
              <w:t>平均比排放（g/kWh）</w:t>
            </w:r>
          </w:p>
        </w:tc>
        <w:tc>
          <w:tcPr>
            <w:tcW w:w="1188" w:type="pct"/>
            <w:tcBorders>
              <w:top w:val="single" w:color="000000" w:sz="12" w:space="0"/>
              <w:left w:val="single" w:color="000000" w:sz="4" w:space="0"/>
              <w:bottom w:val="single" w:color="000000" w:sz="4" w:space="0"/>
              <w:right w:val="single" w:color="000000" w:sz="4" w:space="0"/>
            </w:tcBorders>
            <w:vAlign w:val="center"/>
          </w:tcPr>
          <w:p w14:paraId="7F14A893">
            <w:pPr>
              <w:spacing w:line="360" w:lineRule="auto"/>
              <w:jc w:val="center"/>
              <w:rPr>
                <w:rFonts w:hint="eastAsia" w:cs="宋体"/>
                <w:sz w:val="18"/>
                <w:szCs w:val="18"/>
              </w:rPr>
            </w:pPr>
            <w:r>
              <w:rPr>
                <w:rFonts w:hint="eastAsia" w:cs="宋体"/>
                <w:sz w:val="18"/>
                <w:szCs w:val="18"/>
              </w:rPr>
              <w:t>90%分位值（g/kWh）</w:t>
            </w:r>
          </w:p>
        </w:tc>
        <w:tc>
          <w:tcPr>
            <w:tcW w:w="822" w:type="pct"/>
            <w:tcBorders>
              <w:top w:val="single" w:color="000000" w:sz="12" w:space="0"/>
              <w:left w:val="single" w:color="000000" w:sz="4" w:space="0"/>
              <w:bottom w:val="single" w:color="000000" w:sz="4" w:space="0"/>
              <w:right w:val="single" w:color="000000" w:sz="12" w:space="0"/>
            </w:tcBorders>
            <w:vAlign w:val="center"/>
          </w:tcPr>
          <w:p w14:paraId="5694196B">
            <w:pPr>
              <w:spacing w:line="360" w:lineRule="auto"/>
              <w:jc w:val="center"/>
              <w:rPr>
                <w:rFonts w:hint="eastAsia" w:cs="宋体"/>
                <w:sz w:val="18"/>
                <w:szCs w:val="18"/>
              </w:rPr>
            </w:pPr>
            <w:r>
              <w:rPr>
                <w:rFonts w:hint="eastAsia" w:cs="宋体"/>
                <w:sz w:val="18"/>
                <w:szCs w:val="18"/>
              </w:rPr>
              <w:t>再生修正结果</w:t>
            </w:r>
          </w:p>
        </w:tc>
      </w:tr>
      <w:tr w14:paraId="2495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restart"/>
            <w:tcBorders>
              <w:top w:val="single" w:color="000000" w:sz="4" w:space="0"/>
              <w:left w:val="single" w:color="000000" w:sz="12" w:space="0"/>
              <w:bottom w:val="single" w:color="000000" w:sz="4" w:space="0"/>
              <w:right w:val="single" w:color="000000" w:sz="4" w:space="0"/>
            </w:tcBorders>
            <w:vAlign w:val="center"/>
          </w:tcPr>
          <w:p w14:paraId="394D2BFE">
            <w:pPr>
              <w:spacing w:line="360" w:lineRule="auto"/>
              <w:jc w:val="center"/>
              <w:rPr>
                <w:rFonts w:hint="eastAsia" w:cs="宋体"/>
                <w:sz w:val="18"/>
                <w:szCs w:val="18"/>
              </w:rPr>
            </w:pPr>
            <w:r>
              <w:rPr>
                <w:rFonts w:hint="eastAsia" w:cs="宋体"/>
                <w:sz w:val="18"/>
                <w:szCs w:val="18"/>
              </w:rPr>
              <w:t>37≤P</w:t>
            </w:r>
            <w:r>
              <w:rPr>
                <w:rFonts w:hint="eastAsia" w:cs="宋体"/>
                <w:sz w:val="18"/>
                <w:szCs w:val="18"/>
                <w:vertAlign w:val="subscript"/>
              </w:rPr>
              <w:t>max</w:t>
            </w:r>
            <w:r>
              <w:rPr>
                <w:rFonts w:hint="eastAsia" w:cs="宋体"/>
                <w:sz w:val="18"/>
                <w:szCs w:val="18"/>
              </w:rPr>
              <w:t>&lt;56</w:t>
            </w:r>
          </w:p>
        </w:tc>
        <w:tc>
          <w:tcPr>
            <w:tcW w:w="552" w:type="pct"/>
            <w:tcBorders>
              <w:top w:val="single" w:color="000000" w:sz="4" w:space="0"/>
              <w:left w:val="single" w:color="000000" w:sz="4" w:space="0"/>
              <w:bottom w:val="single" w:color="000000" w:sz="4" w:space="0"/>
              <w:right w:val="single" w:color="000000" w:sz="4" w:space="0"/>
            </w:tcBorders>
            <w:vAlign w:val="center"/>
          </w:tcPr>
          <w:p w14:paraId="609D7FF8">
            <w:pPr>
              <w:spacing w:line="360" w:lineRule="auto"/>
              <w:ind w:left="-7" w:firstLine="7"/>
              <w:jc w:val="center"/>
              <w:rPr>
                <w:rFonts w:hint="eastAsia" w:cs="宋体"/>
                <w:sz w:val="18"/>
                <w:szCs w:val="18"/>
              </w:rPr>
            </w:pPr>
            <w:r>
              <w:rPr>
                <w:rFonts w:hint="eastAsia" w:cs="宋体"/>
                <w:sz w:val="18"/>
                <w:szCs w:val="18"/>
              </w:rPr>
              <w:t>CO</w:t>
            </w:r>
          </w:p>
        </w:tc>
        <w:tc>
          <w:tcPr>
            <w:tcW w:w="1374" w:type="pct"/>
            <w:tcBorders>
              <w:top w:val="single" w:color="000000" w:sz="4" w:space="0"/>
              <w:left w:val="single" w:color="000000" w:sz="4" w:space="0"/>
              <w:bottom w:val="single" w:color="000000" w:sz="4" w:space="0"/>
              <w:right w:val="single" w:color="000000" w:sz="4" w:space="0"/>
            </w:tcBorders>
          </w:tcPr>
          <w:p w14:paraId="15433EFD">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4FD426FB">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18E8586F">
            <w:pPr>
              <w:spacing w:line="360" w:lineRule="auto"/>
              <w:rPr>
                <w:rFonts w:hint="eastAsia" w:cs="宋体"/>
                <w:sz w:val="18"/>
                <w:szCs w:val="18"/>
              </w:rPr>
            </w:pPr>
          </w:p>
        </w:tc>
      </w:tr>
      <w:tr w14:paraId="7C26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4" w:space="0"/>
              <w:right w:val="single" w:color="000000" w:sz="4" w:space="0"/>
            </w:tcBorders>
          </w:tcPr>
          <w:p w14:paraId="0DDF4E45">
            <w:pPr>
              <w:spacing w:line="360" w:lineRule="auto"/>
              <w:rPr>
                <w:rFonts w:hint="eastAsia" w:cs="宋体"/>
                <w:sz w:val="18"/>
                <w:szCs w:val="18"/>
              </w:rPr>
            </w:pPr>
          </w:p>
        </w:tc>
        <w:tc>
          <w:tcPr>
            <w:tcW w:w="552" w:type="pct"/>
            <w:tcBorders>
              <w:top w:val="single" w:color="000000" w:sz="4" w:space="0"/>
              <w:left w:val="single" w:color="000000" w:sz="4" w:space="0"/>
              <w:bottom w:val="single" w:color="000000" w:sz="4" w:space="0"/>
              <w:right w:val="single" w:color="000000" w:sz="4" w:space="0"/>
            </w:tcBorders>
            <w:vAlign w:val="center"/>
          </w:tcPr>
          <w:p w14:paraId="4ACA693C">
            <w:pPr>
              <w:spacing w:line="360" w:lineRule="auto"/>
              <w:ind w:left="-7" w:firstLine="7"/>
              <w:jc w:val="center"/>
              <w:rPr>
                <w:rFonts w:hint="eastAsia" w:cs="宋体"/>
                <w:sz w:val="18"/>
                <w:szCs w:val="18"/>
              </w:rPr>
            </w:pPr>
            <w:r>
              <w:rPr>
                <w:rFonts w:hint="eastAsia" w:cs="宋体"/>
                <w:sz w:val="18"/>
                <w:szCs w:val="18"/>
              </w:rPr>
              <w:t>NOx</w:t>
            </w:r>
          </w:p>
        </w:tc>
        <w:tc>
          <w:tcPr>
            <w:tcW w:w="1374" w:type="pct"/>
            <w:tcBorders>
              <w:top w:val="single" w:color="000000" w:sz="4" w:space="0"/>
              <w:left w:val="single" w:color="000000" w:sz="4" w:space="0"/>
              <w:bottom w:val="single" w:color="000000" w:sz="4" w:space="0"/>
              <w:right w:val="single" w:color="000000" w:sz="4" w:space="0"/>
            </w:tcBorders>
          </w:tcPr>
          <w:p w14:paraId="5233F72A">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2E9DF454">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7CB30DD5">
            <w:pPr>
              <w:spacing w:line="360" w:lineRule="auto"/>
              <w:rPr>
                <w:rFonts w:hint="eastAsia" w:cs="宋体"/>
                <w:sz w:val="18"/>
                <w:szCs w:val="18"/>
              </w:rPr>
            </w:pPr>
          </w:p>
        </w:tc>
      </w:tr>
      <w:tr w14:paraId="6868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4" w:space="0"/>
              <w:right w:val="single" w:color="000000" w:sz="4" w:space="0"/>
            </w:tcBorders>
          </w:tcPr>
          <w:p w14:paraId="716DBAE8">
            <w:pPr>
              <w:spacing w:line="360" w:lineRule="auto"/>
              <w:rPr>
                <w:rFonts w:hint="eastAsia" w:cs="宋体"/>
                <w:sz w:val="18"/>
                <w:szCs w:val="18"/>
              </w:rPr>
            </w:pPr>
          </w:p>
        </w:tc>
        <w:tc>
          <w:tcPr>
            <w:tcW w:w="552" w:type="pct"/>
            <w:tcBorders>
              <w:top w:val="single" w:color="000000" w:sz="4" w:space="0"/>
              <w:left w:val="single" w:color="000000" w:sz="4" w:space="0"/>
              <w:bottom w:val="single" w:color="000000" w:sz="4" w:space="0"/>
              <w:right w:val="single" w:color="000000" w:sz="4" w:space="0"/>
            </w:tcBorders>
            <w:vAlign w:val="center"/>
          </w:tcPr>
          <w:p w14:paraId="19A857AF">
            <w:pPr>
              <w:spacing w:line="360" w:lineRule="auto"/>
              <w:ind w:left="-7" w:firstLine="7"/>
              <w:jc w:val="center"/>
              <w:rPr>
                <w:rFonts w:hint="eastAsia" w:cs="宋体"/>
                <w:sz w:val="18"/>
                <w:szCs w:val="18"/>
              </w:rPr>
            </w:pPr>
            <w:r>
              <w:rPr>
                <w:rFonts w:hint="eastAsia" w:cs="宋体"/>
                <w:sz w:val="18"/>
                <w:szCs w:val="18"/>
              </w:rPr>
              <w:t>CO</w:t>
            </w:r>
            <w:r>
              <w:rPr>
                <w:rFonts w:hint="eastAsia" w:cs="宋体"/>
                <w:sz w:val="18"/>
                <w:szCs w:val="18"/>
                <w:vertAlign w:val="subscript"/>
              </w:rPr>
              <w:t>2</w:t>
            </w:r>
          </w:p>
        </w:tc>
        <w:tc>
          <w:tcPr>
            <w:tcW w:w="1374" w:type="pct"/>
            <w:tcBorders>
              <w:top w:val="single" w:color="000000" w:sz="4" w:space="0"/>
              <w:left w:val="single" w:color="000000" w:sz="4" w:space="0"/>
              <w:bottom w:val="single" w:color="000000" w:sz="4" w:space="0"/>
              <w:right w:val="single" w:color="000000" w:sz="4" w:space="0"/>
            </w:tcBorders>
          </w:tcPr>
          <w:p w14:paraId="6A38A2B9">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19C77E5B">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15473929">
            <w:pPr>
              <w:spacing w:line="360" w:lineRule="auto"/>
              <w:rPr>
                <w:rFonts w:hint="eastAsia" w:cs="宋体"/>
                <w:sz w:val="18"/>
                <w:szCs w:val="18"/>
              </w:rPr>
            </w:pPr>
          </w:p>
        </w:tc>
      </w:tr>
      <w:tr w14:paraId="4177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restart"/>
            <w:tcBorders>
              <w:top w:val="single" w:color="000000" w:sz="4" w:space="0"/>
              <w:left w:val="single" w:color="000000" w:sz="12" w:space="0"/>
              <w:bottom w:val="single" w:color="000000" w:sz="4" w:space="0"/>
              <w:right w:val="single" w:color="000000" w:sz="4" w:space="0"/>
            </w:tcBorders>
            <w:vAlign w:val="center"/>
          </w:tcPr>
          <w:p w14:paraId="0F041BAD">
            <w:pPr>
              <w:spacing w:line="360" w:lineRule="auto"/>
              <w:jc w:val="center"/>
              <w:rPr>
                <w:rFonts w:hint="eastAsia" w:cs="宋体"/>
                <w:sz w:val="18"/>
                <w:szCs w:val="18"/>
              </w:rPr>
            </w:pPr>
            <w:r>
              <w:rPr>
                <w:rFonts w:hint="eastAsia" w:cs="宋体"/>
                <w:sz w:val="18"/>
                <w:szCs w:val="18"/>
              </w:rPr>
              <w:t>56≤P</w:t>
            </w:r>
            <w:r>
              <w:rPr>
                <w:rFonts w:hint="eastAsia" w:cs="宋体"/>
                <w:sz w:val="18"/>
                <w:szCs w:val="18"/>
                <w:vertAlign w:val="subscript"/>
              </w:rPr>
              <w:t>max</w:t>
            </w:r>
            <w:r>
              <w:rPr>
                <w:rFonts w:hint="eastAsia" w:cs="宋体"/>
                <w:sz w:val="18"/>
                <w:szCs w:val="18"/>
              </w:rPr>
              <w:t>&lt;130</w:t>
            </w:r>
          </w:p>
        </w:tc>
        <w:tc>
          <w:tcPr>
            <w:tcW w:w="552" w:type="pct"/>
            <w:tcBorders>
              <w:top w:val="single" w:color="000000" w:sz="4" w:space="0"/>
              <w:left w:val="single" w:color="000000" w:sz="4" w:space="0"/>
              <w:bottom w:val="single" w:color="000000" w:sz="4" w:space="0"/>
              <w:right w:val="single" w:color="000000" w:sz="4" w:space="0"/>
            </w:tcBorders>
            <w:vAlign w:val="center"/>
          </w:tcPr>
          <w:p w14:paraId="2BA67FBC">
            <w:pPr>
              <w:spacing w:line="360" w:lineRule="auto"/>
              <w:ind w:left="-7" w:firstLine="7"/>
              <w:jc w:val="center"/>
              <w:rPr>
                <w:rFonts w:hint="eastAsia" w:cs="宋体"/>
                <w:sz w:val="18"/>
                <w:szCs w:val="18"/>
              </w:rPr>
            </w:pPr>
            <w:r>
              <w:rPr>
                <w:rFonts w:hint="eastAsia" w:cs="宋体"/>
                <w:sz w:val="18"/>
                <w:szCs w:val="18"/>
              </w:rPr>
              <w:t>CO</w:t>
            </w:r>
          </w:p>
        </w:tc>
        <w:tc>
          <w:tcPr>
            <w:tcW w:w="1374" w:type="pct"/>
            <w:tcBorders>
              <w:top w:val="single" w:color="000000" w:sz="4" w:space="0"/>
              <w:left w:val="single" w:color="000000" w:sz="4" w:space="0"/>
              <w:bottom w:val="single" w:color="000000" w:sz="4" w:space="0"/>
              <w:right w:val="single" w:color="000000" w:sz="4" w:space="0"/>
            </w:tcBorders>
          </w:tcPr>
          <w:p w14:paraId="2D7F1881">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7FDBD218">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2F17DCA1">
            <w:pPr>
              <w:spacing w:line="360" w:lineRule="auto"/>
              <w:rPr>
                <w:rFonts w:hint="eastAsia" w:cs="宋体"/>
                <w:sz w:val="18"/>
                <w:szCs w:val="18"/>
              </w:rPr>
            </w:pPr>
          </w:p>
        </w:tc>
      </w:tr>
      <w:tr w14:paraId="31DF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4" w:space="0"/>
              <w:right w:val="single" w:color="000000" w:sz="4" w:space="0"/>
            </w:tcBorders>
          </w:tcPr>
          <w:p w14:paraId="2D1A153A">
            <w:pPr>
              <w:spacing w:line="360" w:lineRule="auto"/>
              <w:rPr>
                <w:rFonts w:hint="eastAsia" w:cs="宋体"/>
                <w:sz w:val="18"/>
                <w:szCs w:val="18"/>
              </w:rPr>
            </w:pPr>
          </w:p>
        </w:tc>
        <w:tc>
          <w:tcPr>
            <w:tcW w:w="552" w:type="pct"/>
            <w:tcBorders>
              <w:top w:val="single" w:color="000000" w:sz="4" w:space="0"/>
              <w:left w:val="single" w:color="000000" w:sz="4" w:space="0"/>
              <w:bottom w:val="single" w:color="000000" w:sz="4" w:space="0"/>
              <w:right w:val="single" w:color="000000" w:sz="4" w:space="0"/>
            </w:tcBorders>
            <w:vAlign w:val="center"/>
          </w:tcPr>
          <w:p w14:paraId="5CAD2311">
            <w:pPr>
              <w:spacing w:line="360" w:lineRule="auto"/>
              <w:ind w:left="-7" w:firstLine="7"/>
              <w:jc w:val="center"/>
              <w:rPr>
                <w:rFonts w:hint="eastAsia" w:cs="宋体"/>
                <w:sz w:val="18"/>
                <w:szCs w:val="18"/>
              </w:rPr>
            </w:pPr>
            <w:r>
              <w:rPr>
                <w:rFonts w:hint="eastAsia" w:cs="宋体"/>
                <w:sz w:val="18"/>
                <w:szCs w:val="18"/>
              </w:rPr>
              <w:t>NOx</w:t>
            </w:r>
          </w:p>
        </w:tc>
        <w:tc>
          <w:tcPr>
            <w:tcW w:w="1374" w:type="pct"/>
            <w:tcBorders>
              <w:top w:val="single" w:color="000000" w:sz="4" w:space="0"/>
              <w:left w:val="single" w:color="000000" w:sz="4" w:space="0"/>
              <w:bottom w:val="single" w:color="000000" w:sz="4" w:space="0"/>
              <w:right w:val="single" w:color="000000" w:sz="4" w:space="0"/>
            </w:tcBorders>
          </w:tcPr>
          <w:p w14:paraId="79272A93">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6E993CB7">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07BB274E">
            <w:pPr>
              <w:spacing w:line="360" w:lineRule="auto"/>
              <w:rPr>
                <w:rFonts w:hint="eastAsia" w:cs="宋体"/>
                <w:sz w:val="18"/>
                <w:szCs w:val="18"/>
              </w:rPr>
            </w:pPr>
          </w:p>
        </w:tc>
      </w:tr>
      <w:tr w14:paraId="1629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4" w:space="0"/>
              <w:right w:val="single" w:color="000000" w:sz="4" w:space="0"/>
            </w:tcBorders>
          </w:tcPr>
          <w:p w14:paraId="66712A83">
            <w:pPr>
              <w:spacing w:line="360" w:lineRule="auto"/>
              <w:rPr>
                <w:rFonts w:hint="eastAsia" w:cs="宋体"/>
                <w:sz w:val="18"/>
                <w:szCs w:val="18"/>
              </w:rPr>
            </w:pPr>
          </w:p>
        </w:tc>
        <w:tc>
          <w:tcPr>
            <w:tcW w:w="552" w:type="pct"/>
            <w:tcBorders>
              <w:top w:val="single" w:color="000000" w:sz="4" w:space="0"/>
              <w:left w:val="single" w:color="000000" w:sz="4" w:space="0"/>
              <w:bottom w:val="single" w:color="000000" w:sz="4" w:space="0"/>
              <w:right w:val="single" w:color="000000" w:sz="4" w:space="0"/>
            </w:tcBorders>
            <w:vAlign w:val="center"/>
          </w:tcPr>
          <w:p w14:paraId="1E78C9DF">
            <w:pPr>
              <w:spacing w:line="360" w:lineRule="auto"/>
              <w:ind w:left="-7" w:firstLine="7"/>
              <w:jc w:val="center"/>
              <w:rPr>
                <w:rFonts w:hint="eastAsia" w:cs="宋体"/>
                <w:sz w:val="18"/>
                <w:szCs w:val="18"/>
              </w:rPr>
            </w:pPr>
            <w:r>
              <w:rPr>
                <w:rFonts w:hint="eastAsia" w:cs="宋体"/>
                <w:sz w:val="18"/>
                <w:szCs w:val="18"/>
              </w:rPr>
              <w:t>CO</w:t>
            </w:r>
            <w:r>
              <w:rPr>
                <w:rFonts w:hint="eastAsia" w:cs="宋体"/>
                <w:sz w:val="18"/>
                <w:szCs w:val="18"/>
                <w:vertAlign w:val="subscript"/>
              </w:rPr>
              <w:t>2</w:t>
            </w:r>
          </w:p>
        </w:tc>
        <w:tc>
          <w:tcPr>
            <w:tcW w:w="1374" w:type="pct"/>
            <w:tcBorders>
              <w:top w:val="single" w:color="000000" w:sz="4" w:space="0"/>
              <w:left w:val="single" w:color="000000" w:sz="4" w:space="0"/>
              <w:bottom w:val="single" w:color="000000" w:sz="4" w:space="0"/>
              <w:right w:val="single" w:color="000000" w:sz="4" w:space="0"/>
            </w:tcBorders>
          </w:tcPr>
          <w:p w14:paraId="1AE5212B">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63362817">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2FACE069">
            <w:pPr>
              <w:spacing w:line="360" w:lineRule="auto"/>
              <w:rPr>
                <w:rFonts w:hint="eastAsia" w:cs="宋体"/>
                <w:sz w:val="18"/>
                <w:szCs w:val="18"/>
              </w:rPr>
            </w:pPr>
          </w:p>
        </w:tc>
      </w:tr>
      <w:tr w14:paraId="7E94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restart"/>
            <w:tcBorders>
              <w:top w:val="single" w:color="000000" w:sz="4" w:space="0"/>
              <w:left w:val="single" w:color="000000" w:sz="12" w:space="0"/>
              <w:bottom w:val="single" w:color="000000" w:sz="4" w:space="0"/>
              <w:right w:val="single" w:color="000000" w:sz="4" w:space="0"/>
            </w:tcBorders>
            <w:vAlign w:val="center"/>
          </w:tcPr>
          <w:p w14:paraId="5F537E4F">
            <w:pPr>
              <w:spacing w:line="360" w:lineRule="auto"/>
              <w:jc w:val="center"/>
              <w:rPr>
                <w:rFonts w:hint="eastAsia" w:cs="宋体"/>
                <w:sz w:val="18"/>
                <w:szCs w:val="18"/>
              </w:rPr>
            </w:pPr>
            <w:r>
              <w:rPr>
                <w:rFonts w:hint="eastAsia" w:cs="宋体"/>
                <w:sz w:val="18"/>
                <w:szCs w:val="18"/>
              </w:rPr>
              <w:t>130≤P</w:t>
            </w:r>
            <w:r>
              <w:rPr>
                <w:rFonts w:hint="eastAsia" w:cs="宋体"/>
                <w:sz w:val="18"/>
                <w:szCs w:val="18"/>
                <w:vertAlign w:val="subscript"/>
              </w:rPr>
              <w:t>max</w:t>
            </w:r>
            <w:r>
              <w:rPr>
                <w:rFonts w:hint="eastAsia" w:cs="宋体"/>
                <w:sz w:val="18"/>
                <w:szCs w:val="18"/>
              </w:rPr>
              <w:t>≤560</w:t>
            </w:r>
          </w:p>
        </w:tc>
        <w:tc>
          <w:tcPr>
            <w:tcW w:w="552" w:type="pct"/>
            <w:tcBorders>
              <w:top w:val="single" w:color="000000" w:sz="4" w:space="0"/>
              <w:left w:val="single" w:color="000000" w:sz="4" w:space="0"/>
              <w:bottom w:val="single" w:color="000000" w:sz="4" w:space="0"/>
              <w:right w:val="single" w:color="000000" w:sz="4" w:space="0"/>
            </w:tcBorders>
            <w:vAlign w:val="center"/>
          </w:tcPr>
          <w:p w14:paraId="212181A1">
            <w:pPr>
              <w:spacing w:line="360" w:lineRule="auto"/>
              <w:ind w:left="-7" w:firstLine="7"/>
              <w:jc w:val="center"/>
              <w:rPr>
                <w:rFonts w:hint="eastAsia" w:cs="宋体"/>
                <w:sz w:val="18"/>
                <w:szCs w:val="18"/>
              </w:rPr>
            </w:pPr>
            <w:r>
              <w:rPr>
                <w:rFonts w:hint="eastAsia" w:cs="宋体"/>
                <w:sz w:val="18"/>
                <w:szCs w:val="18"/>
              </w:rPr>
              <w:t>CO</w:t>
            </w:r>
          </w:p>
        </w:tc>
        <w:tc>
          <w:tcPr>
            <w:tcW w:w="1374" w:type="pct"/>
            <w:tcBorders>
              <w:top w:val="single" w:color="000000" w:sz="4" w:space="0"/>
              <w:left w:val="single" w:color="000000" w:sz="4" w:space="0"/>
              <w:bottom w:val="single" w:color="000000" w:sz="4" w:space="0"/>
              <w:right w:val="single" w:color="000000" w:sz="4" w:space="0"/>
            </w:tcBorders>
          </w:tcPr>
          <w:p w14:paraId="1D76CAAB">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7149B90A">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344CBA4E">
            <w:pPr>
              <w:spacing w:line="360" w:lineRule="auto"/>
              <w:rPr>
                <w:rFonts w:hint="eastAsia" w:cs="宋体"/>
                <w:sz w:val="18"/>
                <w:szCs w:val="18"/>
              </w:rPr>
            </w:pPr>
          </w:p>
        </w:tc>
      </w:tr>
      <w:tr w14:paraId="75C3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4" w:space="0"/>
              <w:right w:val="single" w:color="000000" w:sz="4" w:space="0"/>
            </w:tcBorders>
            <w:vAlign w:val="center"/>
          </w:tcPr>
          <w:p w14:paraId="134EB8EB">
            <w:pPr>
              <w:spacing w:line="360" w:lineRule="auto"/>
              <w:jc w:val="center"/>
              <w:rPr>
                <w:rFonts w:hint="eastAsia" w:cs="宋体"/>
                <w:sz w:val="18"/>
                <w:szCs w:val="18"/>
              </w:rPr>
            </w:pPr>
          </w:p>
        </w:tc>
        <w:tc>
          <w:tcPr>
            <w:tcW w:w="552" w:type="pct"/>
            <w:tcBorders>
              <w:top w:val="single" w:color="000000" w:sz="4" w:space="0"/>
              <w:left w:val="single" w:color="000000" w:sz="4" w:space="0"/>
              <w:bottom w:val="single" w:color="000000" w:sz="4" w:space="0"/>
              <w:right w:val="single" w:color="000000" w:sz="4" w:space="0"/>
            </w:tcBorders>
            <w:vAlign w:val="center"/>
          </w:tcPr>
          <w:p w14:paraId="4E18D2BB">
            <w:pPr>
              <w:spacing w:line="360" w:lineRule="auto"/>
              <w:ind w:left="-7" w:firstLine="7"/>
              <w:jc w:val="center"/>
              <w:rPr>
                <w:rFonts w:hint="eastAsia" w:cs="宋体"/>
                <w:sz w:val="18"/>
                <w:szCs w:val="18"/>
              </w:rPr>
            </w:pPr>
            <w:r>
              <w:rPr>
                <w:rFonts w:hint="eastAsia" w:cs="宋体"/>
                <w:sz w:val="18"/>
                <w:szCs w:val="18"/>
              </w:rPr>
              <w:t>NOx</w:t>
            </w:r>
          </w:p>
        </w:tc>
        <w:tc>
          <w:tcPr>
            <w:tcW w:w="1374" w:type="pct"/>
            <w:tcBorders>
              <w:top w:val="single" w:color="000000" w:sz="4" w:space="0"/>
              <w:left w:val="single" w:color="000000" w:sz="4" w:space="0"/>
              <w:bottom w:val="single" w:color="000000" w:sz="4" w:space="0"/>
              <w:right w:val="single" w:color="000000" w:sz="4" w:space="0"/>
            </w:tcBorders>
          </w:tcPr>
          <w:p w14:paraId="29593517">
            <w:pPr>
              <w:spacing w:line="360" w:lineRule="auto"/>
              <w:rPr>
                <w:rFonts w:hint="eastAsia" w:cs="宋体"/>
                <w:sz w:val="18"/>
                <w:szCs w:val="18"/>
              </w:rPr>
            </w:pPr>
          </w:p>
        </w:tc>
        <w:tc>
          <w:tcPr>
            <w:tcW w:w="1188" w:type="pct"/>
            <w:tcBorders>
              <w:top w:val="single" w:color="000000" w:sz="4" w:space="0"/>
              <w:left w:val="single" w:color="000000" w:sz="4" w:space="0"/>
              <w:bottom w:val="single" w:color="000000" w:sz="4" w:space="0"/>
              <w:right w:val="single" w:color="000000" w:sz="4" w:space="0"/>
            </w:tcBorders>
          </w:tcPr>
          <w:p w14:paraId="5E566F12">
            <w:pPr>
              <w:spacing w:line="360" w:lineRule="auto"/>
              <w:rPr>
                <w:rFonts w:hint="eastAsia" w:cs="宋体"/>
                <w:sz w:val="18"/>
                <w:szCs w:val="18"/>
              </w:rPr>
            </w:pPr>
          </w:p>
        </w:tc>
        <w:tc>
          <w:tcPr>
            <w:tcW w:w="822" w:type="pct"/>
            <w:tcBorders>
              <w:top w:val="single" w:color="000000" w:sz="4" w:space="0"/>
              <w:left w:val="single" w:color="000000" w:sz="4" w:space="0"/>
              <w:bottom w:val="single" w:color="000000" w:sz="4" w:space="0"/>
              <w:right w:val="single" w:color="000000" w:sz="12" w:space="0"/>
            </w:tcBorders>
          </w:tcPr>
          <w:p w14:paraId="34EFFCD3">
            <w:pPr>
              <w:spacing w:line="360" w:lineRule="auto"/>
              <w:rPr>
                <w:rFonts w:hint="eastAsia" w:cs="宋体"/>
                <w:sz w:val="18"/>
                <w:szCs w:val="18"/>
              </w:rPr>
            </w:pPr>
          </w:p>
        </w:tc>
      </w:tr>
      <w:tr w14:paraId="15EB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2" w:type="pct"/>
            <w:vMerge w:val="continue"/>
            <w:tcBorders>
              <w:top w:val="single" w:color="000000" w:sz="4" w:space="0"/>
              <w:left w:val="single" w:color="000000" w:sz="12" w:space="0"/>
              <w:bottom w:val="single" w:color="000000" w:sz="12" w:space="0"/>
              <w:right w:val="single" w:color="000000" w:sz="4" w:space="0"/>
            </w:tcBorders>
            <w:vAlign w:val="center"/>
          </w:tcPr>
          <w:p w14:paraId="568D1C10">
            <w:pPr>
              <w:spacing w:line="360" w:lineRule="auto"/>
              <w:jc w:val="center"/>
              <w:rPr>
                <w:rFonts w:hint="eastAsia" w:cs="宋体"/>
                <w:sz w:val="18"/>
                <w:szCs w:val="18"/>
              </w:rPr>
            </w:pPr>
          </w:p>
        </w:tc>
        <w:tc>
          <w:tcPr>
            <w:tcW w:w="552" w:type="pct"/>
            <w:tcBorders>
              <w:top w:val="single" w:color="000000" w:sz="4" w:space="0"/>
              <w:left w:val="single" w:color="000000" w:sz="4" w:space="0"/>
              <w:bottom w:val="single" w:color="000000" w:sz="12" w:space="0"/>
              <w:right w:val="single" w:color="000000" w:sz="4" w:space="0"/>
            </w:tcBorders>
            <w:vAlign w:val="center"/>
          </w:tcPr>
          <w:p w14:paraId="7E7A8054">
            <w:pPr>
              <w:spacing w:line="360" w:lineRule="auto"/>
              <w:ind w:left="-7" w:firstLine="7"/>
              <w:jc w:val="center"/>
              <w:rPr>
                <w:rFonts w:hint="eastAsia" w:cs="宋体"/>
                <w:sz w:val="18"/>
                <w:szCs w:val="18"/>
              </w:rPr>
            </w:pPr>
            <w:r>
              <w:rPr>
                <w:rFonts w:hint="eastAsia" w:cs="宋体"/>
                <w:sz w:val="18"/>
                <w:szCs w:val="18"/>
              </w:rPr>
              <w:t>CO</w:t>
            </w:r>
            <w:r>
              <w:rPr>
                <w:rFonts w:hint="eastAsia" w:cs="宋体"/>
                <w:sz w:val="18"/>
                <w:szCs w:val="18"/>
                <w:vertAlign w:val="subscript"/>
              </w:rPr>
              <w:t>2</w:t>
            </w:r>
          </w:p>
        </w:tc>
        <w:tc>
          <w:tcPr>
            <w:tcW w:w="1374" w:type="pct"/>
            <w:tcBorders>
              <w:top w:val="single" w:color="000000" w:sz="4" w:space="0"/>
              <w:left w:val="single" w:color="000000" w:sz="4" w:space="0"/>
              <w:bottom w:val="single" w:color="000000" w:sz="12" w:space="0"/>
              <w:right w:val="single" w:color="000000" w:sz="4" w:space="0"/>
            </w:tcBorders>
          </w:tcPr>
          <w:p w14:paraId="3C9A13A5">
            <w:pPr>
              <w:spacing w:line="360" w:lineRule="auto"/>
              <w:rPr>
                <w:rFonts w:hint="eastAsia" w:cs="宋体"/>
                <w:sz w:val="18"/>
                <w:szCs w:val="18"/>
              </w:rPr>
            </w:pPr>
          </w:p>
        </w:tc>
        <w:tc>
          <w:tcPr>
            <w:tcW w:w="1188" w:type="pct"/>
            <w:tcBorders>
              <w:top w:val="single" w:color="000000" w:sz="4" w:space="0"/>
              <w:left w:val="single" w:color="000000" w:sz="4" w:space="0"/>
              <w:bottom w:val="single" w:color="000000" w:sz="12" w:space="0"/>
              <w:right w:val="single" w:color="000000" w:sz="4" w:space="0"/>
            </w:tcBorders>
          </w:tcPr>
          <w:p w14:paraId="7DF087F7">
            <w:pPr>
              <w:spacing w:line="360" w:lineRule="auto"/>
              <w:rPr>
                <w:rFonts w:hint="eastAsia" w:cs="宋体"/>
                <w:sz w:val="18"/>
                <w:szCs w:val="18"/>
              </w:rPr>
            </w:pPr>
          </w:p>
        </w:tc>
        <w:tc>
          <w:tcPr>
            <w:tcW w:w="822" w:type="pct"/>
            <w:tcBorders>
              <w:top w:val="single" w:color="000000" w:sz="4" w:space="0"/>
              <w:left w:val="single" w:color="000000" w:sz="4" w:space="0"/>
              <w:bottom w:val="single" w:color="000000" w:sz="12" w:space="0"/>
              <w:right w:val="single" w:color="000000" w:sz="12" w:space="0"/>
            </w:tcBorders>
          </w:tcPr>
          <w:p w14:paraId="0F9D0592">
            <w:pPr>
              <w:spacing w:line="360" w:lineRule="auto"/>
              <w:rPr>
                <w:rFonts w:hint="eastAsia" w:cs="宋体"/>
                <w:sz w:val="18"/>
                <w:szCs w:val="18"/>
              </w:rPr>
            </w:pPr>
          </w:p>
        </w:tc>
      </w:tr>
    </w:tbl>
    <w:p w14:paraId="0320C4F0">
      <w:pPr>
        <w:pStyle w:val="25"/>
        <w:ind w:firstLine="0" w:firstLineChars="0"/>
        <w:rPr>
          <w:rFonts w:hint="eastAsia"/>
        </w:rPr>
      </w:pPr>
    </w:p>
    <w:p w14:paraId="1B2FE8B5">
      <w:pPr>
        <w:pStyle w:val="25"/>
        <w:tabs>
          <w:tab w:val="center" w:pos="4201"/>
          <w:tab w:val="right" w:leader="dot" w:pos="9298"/>
        </w:tabs>
        <w:ind w:firstLine="0" w:firstLineChars="0"/>
        <w:rPr>
          <w:rFonts w:hint="eastAsia" w:ascii="黑体" w:hAnsi="黑体" w:eastAsia="黑体" w:cs="黑体"/>
          <w:szCs w:val="21"/>
        </w:rPr>
      </w:pPr>
    </w:p>
    <w:p w14:paraId="17FF201B">
      <w:pPr>
        <w:pStyle w:val="2"/>
        <w:rPr>
          <w:rFonts w:hint="eastAsia" w:ascii="黑体" w:hAnsi="黑体" w:eastAsia="黑体" w:cs="黑体"/>
          <w:szCs w:val="21"/>
        </w:rPr>
      </w:pPr>
    </w:p>
    <w:p w14:paraId="317F66B4">
      <w:pPr>
        <w:pStyle w:val="40"/>
        <w:rPr>
          <w:rFonts w:hint="eastAsia"/>
        </w:rPr>
      </w:pPr>
      <w:bookmarkStart w:id="55" w:name="_Toc18143"/>
      <w:bookmarkStart w:id="56" w:name="_Toc18173"/>
      <w:r>
        <w:rPr>
          <w:rFonts w:hint="eastAsia" w:cs="黑体"/>
        </w:rPr>
        <w:t>B.2.2</w:t>
      </w:r>
      <w:r>
        <w:rPr>
          <w:rFonts w:hint="eastAsia"/>
        </w:rPr>
        <w:t>　</w:t>
      </w:r>
      <w:r>
        <w:rPr>
          <w:rFonts w:hint="eastAsia" w:cs="黑体"/>
        </w:rPr>
        <w:t>油耗一致性</w:t>
      </w:r>
      <w:bookmarkEnd w:id="55"/>
      <w:bookmarkEnd w:id="56"/>
    </w:p>
    <w:tbl>
      <w:tblPr>
        <w:tblStyle w:val="18"/>
        <w:tblW w:w="491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98"/>
        <w:gridCol w:w="4700"/>
      </w:tblGrid>
      <w:tr w14:paraId="0BC92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2499" w:type="pct"/>
            <w:tcBorders>
              <w:top w:val="single" w:color="000000" w:sz="12" w:space="0"/>
              <w:left w:val="single" w:color="000000" w:sz="12" w:space="0"/>
              <w:bottom w:val="single" w:color="000000" w:sz="4" w:space="0"/>
              <w:right w:val="single" w:color="000000" w:sz="4" w:space="0"/>
            </w:tcBorders>
            <w:vAlign w:val="center"/>
          </w:tcPr>
          <w:p w14:paraId="7F93D862">
            <w:pPr>
              <w:tabs>
                <w:tab w:val="left" w:pos="2520"/>
              </w:tabs>
              <w:spacing w:line="360" w:lineRule="auto"/>
              <w:ind w:left="-6"/>
              <w:jc w:val="center"/>
              <w:rPr>
                <w:rFonts w:hint="eastAsia" w:cs="宋体"/>
                <w:sz w:val="18"/>
                <w:szCs w:val="18"/>
              </w:rPr>
            </w:pPr>
            <w:r>
              <w:rPr>
                <w:rFonts w:hint="eastAsia" w:cs="宋体"/>
                <w:sz w:val="18"/>
                <w:szCs w:val="18"/>
              </w:rPr>
              <w:t>项目</w:t>
            </w:r>
          </w:p>
        </w:tc>
        <w:tc>
          <w:tcPr>
            <w:tcW w:w="2500" w:type="pct"/>
            <w:tcBorders>
              <w:top w:val="single" w:color="000000" w:sz="12" w:space="0"/>
              <w:left w:val="single" w:color="000000" w:sz="4" w:space="0"/>
              <w:bottom w:val="single" w:color="000000" w:sz="4" w:space="0"/>
              <w:right w:val="single" w:color="000000" w:sz="12" w:space="0"/>
            </w:tcBorders>
            <w:vAlign w:val="center"/>
          </w:tcPr>
          <w:p w14:paraId="65E1355D">
            <w:pPr>
              <w:tabs>
                <w:tab w:val="left" w:pos="2520"/>
              </w:tabs>
              <w:spacing w:line="360" w:lineRule="auto"/>
              <w:ind w:left="-6"/>
              <w:jc w:val="center"/>
              <w:rPr>
                <w:rFonts w:hint="eastAsia" w:cs="宋体"/>
                <w:sz w:val="18"/>
                <w:szCs w:val="18"/>
              </w:rPr>
            </w:pPr>
            <w:r>
              <w:rPr>
                <w:rFonts w:hint="eastAsia" w:cs="宋体"/>
                <w:sz w:val="18"/>
                <w:szCs w:val="18"/>
              </w:rPr>
              <w:t>结果</w:t>
            </w:r>
          </w:p>
        </w:tc>
      </w:tr>
      <w:tr w14:paraId="44A1F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2499" w:type="pct"/>
            <w:tcBorders>
              <w:top w:val="single" w:color="000000" w:sz="4" w:space="0"/>
              <w:left w:val="single" w:color="000000" w:sz="12" w:space="0"/>
              <w:bottom w:val="single" w:color="000000" w:sz="12" w:space="0"/>
              <w:right w:val="single" w:color="000000" w:sz="4" w:space="0"/>
            </w:tcBorders>
            <w:vAlign w:val="center"/>
          </w:tcPr>
          <w:p w14:paraId="3E7AC1D4">
            <w:pPr>
              <w:tabs>
                <w:tab w:val="left" w:pos="2520"/>
              </w:tabs>
              <w:spacing w:line="360" w:lineRule="auto"/>
              <w:ind w:left="-6"/>
              <w:jc w:val="center"/>
              <w:rPr>
                <w:rFonts w:hint="eastAsia" w:cs="宋体"/>
                <w:sz w:val="18"/>
                <w:szCs w:val="18"/>
              </w:rPr>
            </w:pPr>
            <w:r>
              <w:rPr>
                <w:rFonts w:hint="eastAsia" w:cs="宋体"/>
                <w:sz w:val="18"/>
                <w:szCs w:val="18"/>
              </w:rPr>
              <w:t>油耗一致性</w:t>
            </w:r>
          </w:p>
        </w:tc>
        <w:tc>
          <w:tcPr>
            <w:tcW w:w="2500" w:type="pct"/>
            <w:tcBorders>
              <w:top w:val="single" w:color="000000" w:sz="4" w:space="0"/>
              <w:left w:val="single" w:color="000000" w:sz="4" w:space="0"/>
              <w:bottom w:val="single" w:color="000000" w:sz="12" w:space="0"/>
              <w:right w:val="single" w:color="000000" w:sz="12" w:space="0"/>
            </w:tcBorders>
            <w:vAlign w:val="center"/>
          </w:tcPr>
          <w:p w14:paraId="066AA754">
            <w:pPr>
              <w:tabs>
                <w:tab w:val="left" w:pos="2520"/>
              </w:tabs>
              <w:spacing w:line="360" w:lineRule="auto"/>
              <w:ind w:left="-6"/>
              <w:jc w:val="center"/>
              <w:rPr>
                <w:rFonts w:hint="eastAsia" w:cs="宋体"/>
                <w:sz w:val="18"/>
                <w:szCs w:val="18"/>
              </w:rPr>
            </w:pPr>
          </w:p>
        </w:tc>
      </w:tr>
    </w:tbl>
    <w:p w14:paraId="145A64C9">
      <w:pPr>
        <w:pStyle w:val="40"/>
        <w:rPr>
          <w:rFonts w:hint="eastAsia"/>
        </w:rPr>
      </w:pPr>
      <w:bookmarkStart w:id="57" w:name="_Toc11225"/>
      <w:bookmarkStart w:id="58" w:name="_Toc21419"/>
      <w:r>
        <w:rPr>
          <w:rFonts w:hint="eastAsia" w:cs="黑体"/>
        </w:rPr>
        <w:t>B.2.3</w:t>
      </w:r>
      <w:r>
        <w:rPr>
          <w:rFonts w:hint="eastAsia"/>
        </w:rPr>
        <w:t>　</w:t>
      </w:r>
      <w:r>
        <w:rPr>
          <w:rFonts w:hint="eastAsia" w:cs="黑体"/>
        </w:rPr>
        <w:t>扭矩一致性</w:t>
      </w:r>
      <w:bookmarkEnd w:id="57"/>
      <w:bookmarkEnd w:id="58"/>
    </w:p>
    <w:tbl>
      <w:tblPr>
        <w:tblStyle w:val="18"/>
        <w:tblW w:w="492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51"/>
        <w:gridCol w:w="2123"/>
        <w:gridCol w:w="2431"/>
        <w:gridCol w:w="1912"/>
      </w:tblGrid>
      <w:tr w14:paraId="68A98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1566" w:type="pct"/>
            <w:tcBorders>
              <w:top w:val="single" w:color="000000" w:sz="12" w:space="0"/>
              <w:left w:val="single" w:color="000000" w:sz="12" w:space="0"/>
              <w:bottom w:val="single" w:color="000000" w:sz="4" w:space="0"/>
              <w:right w:val="single" w:color="000000" w:sz="4" w:space="0"/>
            </w:tcBorders>
            <w:vAlign w:val="center"/>
          </w:tcPr>
          <w:p w14:paraId="6AD92751">
            <w:pPr>
              <w:tabs>
                <w:tab w:val="left" w:pos="2520"/>
              </w:tabs>
              <w:spacing w:line="360" w:lineRule="auto"/>
              <w:ind w:left="-6"/>
              <w:jc w:val="center"/>
              <w:rPr>
                <w:rFonts w:hint="eastAsia" w:cs="宋体"/>
                <w:sz w:val="18"/>
                <w:szCs w:val="18"/>
              </w:rPr>
            </w:pPr>
            <w:r>
              <w:rPr>
                <w:rFonts w:hint="eastAsia" w:cs="宋体"/>
                <w:sz w:val="18"/>
                <w:szCs w:val="18"/>
              </w:rPr>
              <w:t>发动机平均转速/(r/min)</w:t>
            </w:r>
          </w:p>
        </w:tc>
        <w:tc>
          <w:tcPr>
            <w:tcW w:w="1127" w:type="pct"/>
            <w:tcBorders>
              <w:top w:val="single" w:color="000000" w:sz="12" w:space="0"/>
              <w:left w:val="single" w:color="000000" w:sz="4" w:space="0"/>
              <w:bottom w:val="single" w:color="000000" w:sz="4" w:space="0"/>
              <w:right w:val="single" w:color="000000" w:sz="4" w:space="0"/>
            </w:tcBorders>
            <w:vAlign w:val="center"/>
          </w:tcPr>
          <w:p w14:paraId="27C64663">
            <w:pPr>
              <w:tabs>
                <w:tab w:val="left" w:pos="2520"/>
              </w:tabs>
              <w:spacing w:line="360" w:lineRule="auto"/>
              <w:ind w:left="-6"/>
              <w:jc w:val="center"/>
              <w:rPr>
                <w:rFonts w:hint="eastAsia" w:cs="宋体"/>
                <w:sz w:val="18"/>
                <w:szCs w:val="18"/>
              </w:rPr>
            </w:pPr>
            <w:r>
              <w:rPr>
                <w:rFonts w:hint="eastAsia" w:cs="宋体"/>
                <w:sz w:val="18"/>
                <w:szCs w:val="18"/>
              </w:rPr>
              <w:t>对应平均扭矩/N·m</w:t>
            </w:r>
          </w:p>
        </w:tc>
        <w:tc>
          <w:tcPr>
            <w:tcW w:w="1290" w:type="pct"/>
            <w:tcBorders>
              <w:top w:val="single" w:color="000000" w:sz="12" w:space="0"/>
              <w:left w:val="single" w:color="000000" w:sz="4" w:space="0"/>
              <w:bottom w:val="single" w:color="000000" w:sz="4" w:space="0"/>
              <w:right w:val="single" w:color="000000" w:sz="4" w:space="0"/>
            </w:tcBorders>
            <w:vAlign w:val="center"/>
          </w:tcPr>
          <w:p w14:paraId="7C871675">
            <w:pPr>
              <w:tabs>
                <w:tab w:val="left" w:pos="2520"/>
              </w:tabs>
              <w:spacing w:line="360" w:lineRule="auto"/>
              <w:ind w:left="-6"/>
              <w:jc w:val="center"/>
              <w:rPr>
                <w:rFonts w:hint="eastAsia" w:cs="宋体"/>
                <w:sz w:val="18"/>
                <w:szCs w:val="18"/>
              </w:rPr>
            </w:pPr>
            <w:r>
              <w:rPr>
                <w:rFonts w:hint="eastAsia" w:cs="宋体"/>
                <w:sz w:val="18"/>
                <w:szCs w:val="18"/>
              </w:rPr>
              <w:t>外特性曲线扭矩/N·m</w:t>
            </w:r>
          </w:p>
        </w:tc>
        <w:tc>
          <w:tcPr>
            <w:tcW w:w="1015" w:type="pct"/>
            <w:tcBorders>
              <w:top w:val="single" w:color="000000" w:sz="12" w:space="0"/>
              <w:left w:val="single" w:color="000000" w:sz="4" w:space="0"/>
              <w:bottom w:val="single" w:color="000000" w:sz="4" w:space="0"/>
              <w:right w:val="single" w:color="000000" w:sz="12" w:space="0"/>
            </w:tcBorders>
            <w:vAlign w:val="center"/>
          </w:tcPr>
          <w:p w14:paraId="6575862E">
            <w:pPr>
              <w:tabs>
                <w:tab w:val="left" w:pos="2520"/>
              </w:tabs>
              <w:spacing w:line="360" w:lineRule="auto"/>
              <w:ind w:left="-6"/>
              <w:jc w:val="center"/>
              <w:rPr>
                <w:rFonts w:hint="eastAsia" w:cs="宋体"/>
                <w:sz w:val="18"/>
                <w:szCs w:val="18"/>
              </w:rPr>
            </w:pPr>
            <w:r>
              <w:rPr>
                <w:rFonts w:hint="eastAsia" w:cs="宋体"/>
                <w:sz w:val="18"/>
                <w:szCs w:val="18"/>
              </w:rPr>
              <w:t>偏差百分比/%</w:t>
            </w:r>
          </w:p>
        </w:tc>
      </w:tr>
      <w:tr w14:paraId="6C37F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0" w:hRule="atLeast"/>
        </w:trPr>
        <w:tc>
          <w:tcPr>
            <w:tcW w:w="1566" w:type="pct"/>
            <w:tcBorders>
              <w:top w:val="single" w:color="000000" w:sz="4" w:space="0"/>
              <w:left w:val="single" w:color="000000" w:sz="12" w:space="0"/>
              <w:bottom w:val="single" w:color="000000" w:sz="4" w:space="0"/>
              <w:right w:val="single" w:color="000000" w:sz="4" w:space="0"/>
            </w:tcBorders>
            <w:vAlign w:val="center"/>
          </w:tcPr>
          <w:p w14:paraId="49AD0CC1">
            <w:pPr>
              <w:tabs>
                <w:tab w:val="left" w:pos="2520"/>
              </w:tabs>
              <w:spacing w:line="360" w:lineRule="auto"/>
              <w:ind w:left="-6"/>
              <w:jc w:val="center"/>
              <w:rPr>
                <w:rFonts w:hint="eastAsia" w:cs="宋体"/>
                <w:sz w:val="18"/>
                <w:szCs w:val="18"/>
              </w:rPr>
            </w:pPr>
          </w:p>
        </w:tc>
        <w:tc>
          <w:tcPr>
            <w:tcW w:w="1127" w:type="pct"/>
            <w:tcBorders>
              <w:top w:val="single" w:color="000000" w:sz="4" w:space="0"/>
              <w:left w:val="single" w:color="000000" w:sz="4" w:space="0"/>
              <w:bottom w:val="single" w:color="000000" w:sz="4" w:space="0"/>
              <w:right w:val="single" w:color="000000" w:sz="4" w:space="0"/>
            </w:tcBorders>
            <w:vAlign w:val="center"/>
          </w:tcPr>
          <w:p w14:paraId="0ECF13B8">
            <w:pPr>
              <w:tabs>
                <w:tab w:val="left" w:pos="2520"/>
              </w:tabs>
              <w:spacing w:line="360" w:lineRule="auto"/>
              <w:ind w:left="-6"/>
              <w:jc w:val="center"/>
              <w:rPr>
                <w:rFonts w:hint="eastAsia" w:cs="宋体"/>
                <w:sz w:val="18"/>
                <w:szCs w:val="18"/>
              </w:rPr>
            </w:pPr>
          </w:p>
        </w:tc>
        <w:tc>
          <w:tcPr>
            <w:tcW w:w="1290" w:type="pct"/>
            <w:tcBorders>
              <w:top w:val="single" w:color="000000" w:sz="4" w:space="0"/>
              <w:left w:val="single" w:color="000000" w:sz="4" w:space="0"/>
              <w:bottom w:val="single" w:color="000000" w:sz="4" w:space="0"/>
              <w:right w:val="single" w:color="000000" w:sz="4" w:space="0"/>
            </w:tcBorders>
            <w:vAlign w:val="center"/>
          </w:tcPr>
          <w:p w14:paraId="393437E3">
            <w:pPr>
              <w:tabs>
                <w:tab w:val="left" w:pos="2520"/>
              </w:tabs>
              <w:spacing w:line="360" w:lineRule="auto"/>
              <w:ind w:left="-6"/>
              <w:jc w:val="center"/>
              <w:rPr>
                <w:rFonts w:hint="eastAsia" w:cs="宋体"/>
                <w:sz w:val="18"/>
                <w:szCs w:val="18"/>
              </w:rPr>
            </w:pPr>
          </w:p>
        </w:tc>
        <w:tc>
          <w:tcPr>
            <w:tcW w:w="1015" w:type="pct"/>
            <w:tcBorders>
              <w:top w:val="single" w:color="000000" w:sz="4" w:space="0"/>
              <w:left w:val="single" w:color="000000" w:sz="4" w:space="0"/>
              <w:bottom w:val="single" w:color="000000" w:sz="4" w:space="0"/>
              <w:right w:val="single" w:color="000000" w:sz="12" w:space="0"/>
            </w:tcBorders>
            <w:vAlign w:val="center"/>
          </w:tcPr>
          <w:p w14:paraId="2350C23A">
            <w:pPr>
              <w:tabs>
                <w:tab w:val="left" w:pos="2520"/>
              </w:tabs>
              <w:spacing w:line="360" w:lineRule="auto"/>
              <w:ind w:left="-6"/>
              <w:jc w:val="center"/>
              <w:rPr>
                <w:rFonts w:hint="eastAsia" w:cs="宋体"/>
                <w:sz w:val="18"/>
                <w:szCs w:val="18"/>
              </w:rPr>
            </w:pPr>
          </w:p>
        </w:tc>
      </w:tr>
      <w:tr w14:paraId="4B22C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1566" w:type="pct"/>
            <w:tcBorders>
              <w:top w:val="single" w:color="000000" w:sz="4" w:space="0"/>
              <w:left w:val="single" w:color="000000" w:sz="12" w:space="0"/>
              <w:bottom w:val="single" w:color="000000" w:sz="4" w:space="0"/>
              <w:right w:val="single" w:color="000000" w:sz="4" w:space="0"/>
            </w:tcBorders>
            <w:vAlign w:val="center"/>
          </w:tcPr>
          <w:p w14:paraId="3B385ACB">
            <w:pPr>
              <w:tabs>
                <w:tab w:val="left" w:pos="2520"/>
              </w:tabs>
              <w:spacing w:line="360" w:lineRule="auto"/>
              <w:ind w:left="-6"/>
              <w:jc w:val="center"/>
              <w:rPr>
                <w:rFonts w:hint="eastAsia" w:cs="宋体"/>
                <w:sz w:val="18"/>
                <w:szCs w:val="18"/>
              </w:rPr>
            </w:pPr>
          </w:p>
        </w:tc>
        <w:tc>
          <w:tcPr>
            <w:tcW w:w="1127" w:type="pct"/>
            <w:tcBorders>
              <w:top w:val="single" w:color="000000" w:sz="4" w:space="0"/>
              <w:left w:val="single" w:color="000000" w:sz="4" w:space="0"/>
              <w:bottom w:val="single" w:color="000000" w:sz="4" w:space="0"/>
              <w:right w:val="single" w:color="000000" w:sz="4" w:space="0"/>
            </w:tcBorders>
            <w:vAlign w:val="center"/>
          </w:tcPr>
          <w:p w14:paraId="7BFFEBBE">
            <w:pPr>
              <w:tabs>
                <w:tab w:val="left" w:pos="2520"/>
              </w:tabs>
              <w:spacing w:line="360" w:lineRule="auto"/>
              <w:ind w:left="-6"/>
              <w:jc w:val="center"/>
              <w:rPr>
                <w:rFonts w:hint="eastAsia" w:cs="宋体"/>
                <w:sz w:val="18"/>
                <w:szCs w:val="18"/>
              </w:rPr>
            </w:pPr>
          </w:p>
        </w:tc>
        <w:tc>
          <w:tcPr>
            <w:tcW w:w="1290" w:type="pct"/>
            <w:tcBorders>
              <w:top w:val="single" w:color="000000" w:sz="4" w:space="0"/>
              <w:left w:val="single" w:color="000000" w:sz="4" w:space="0"/>
              <w:bottom w:val="single" w:color="000000" w:sz="4" w:space="0"/>
              <w:right w:val="single" w:color="000000" w:sz="4" w:space="0"/>
            </w:tcBorders>
            <w:vAlign w:val="center"/>
          </w:tcPr>
          <w:p w14:paraId="2403DB99">
            <w:pPr>
              <w:tabs>
                <w:tab w:val="left" w:pos="2520"/>
              </w:tabs>
              <w:spacing w:line="360" w:lineRule="auto"/>
              <w:ind w:left="-6"/>
              <w:jc w:val="center"/>
              <w:rPr>
                <w:rFonts w:hint="eastAsia" w:cs="宋体"/>
                <w:sz w:val="18"/>
                <w:szCs w:val="18"/>
              </w:rPr>
            </w:pPr>
          </w:p>
        </w:tc>
        <w:tc>
          <w:tcPr>
            <w:tcW w:w="1015" w:type="pct"/>
            <w:tcBorders>
              <w:top w:val="single" w:color="000000" w:sz="4" w:space="0"/>
              <w:left w:val="single" w:color="000000" w:sz="4" w:space="0"/>
              <w:bottom w:val="single" w:color="000000" w:sz="4" w:space="0"/>
              <w:right w:val="single" w:color="000000" w:sz="12" w:space="0"/>
            </w:tcBorders>
            <w:vAlign w:val="center"/>
          </w:tcPr>
          <w:p w14:paraId="430C54EC">
            <w:pPr>
              <w:tabs>
                <w:tab w:val="left" w:pos="2520"/>
              </w:tabs>
              <w:spacing w:line="360" w:lineRule="auto"/>
              <w:ind w:left="-6"/>
              <w:jc w:val="center"/>
              <w:rPr>
                <w:rFonts w:hint="eastAsia" w:cs="宋体"/>
                <w:sz w:val="18"/>
                <w:szCs w:val="18"/>
              </w:rPr>
            </w:pPr>
          </w:p>
        </w:tc>
      </w:tr>
      <w:tr w14:paraId="16BC3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1566" w:type="pct"/>
            <w:tcBorders>
              <w:top w:val="single" w:color="000000" w:sz="4" w:space="0"/>
              <w:left w:val="single" w:color="000000" w:sz="12" w:space="0"/>
              <w:bottom w:val="single" w:color="000000" w:sz="4" w:space="0"/>
              <w:right w:val="single" w:color="000000" w:sz="4" w:space="0"/>
            </w:tcBorders>
            <w:vAlign w:val="center"/>
          </w:tcPr>
          <w:p w14:paraId="0F65DDDC">
            <w:pPr>
              <w:tabs>
                <w:tab w:val="left" w:pos="2520"/>
              </w:tabs>
              <w:spacing w:line="360" w:lineRule="auto"/>
              <w:ind w:left="-6"/>
              <w:jc w:val="center"/>
              <w:rPr>
                <w:rFonts w:hint="eastAsia" w:cs="宋体"/>
                <w:sz w:val="18"/>
                <w:szCs w:val="18"/>
              </w:rPr>
            </w:pPr>
          </w:p>
        </w:tc>
        <w:tc>
          <w:tcPr>
            <w:tcW w:w="1127" w:type="pct"/>
            <w:tcBorders>
              <w:top w:val="single" w:color="000000" w:sz="4" w:space="0"/>
              <w:left w:val="single" w:color="000000" w:sz="4" w:space="0"/>
              <w:bottom w:val="single" w:color="000000" w:sz="4" w:space="0"/>
              <w:right w:val="single" w:color="000000" w:sz="4" w:space="0"/>
            </w:tcBorders>
            <w:vAlign w:val="center"/>
          </w:tcPr>
          <w:p w14:paraId="51FD07A7">
            <w:pPr>
              <w:tabs>
                <w:tab w:val="left" w:pos="2520"/>
              </w:tabs>
              <w:spacing w:line="360" w:lineRule="auto"/>
              <w:ind w:left="-6"/>
              <w:jc w:val="center"/>
              <w:rPr>
                <w:rFonts w:hint="eastAsia" w:cs="宋体"/>
                <w:sz w:val="18"/>
                <w:szCs w:val="18"/>
              </w:rPr>
            </w:pPr>
          </w:p>
        </w:tc>
        <w:tc>
          <w:tcPr>
            <w:tcW w:w="1290" w:type="pct"/>
            <w:tcBorders>
              <w:top w:val="single" w:color="000000" w:sz="4" w:space="0"/>
              <w:left w:val="single" w:color="000000" w:sz="4" w:space="0"/>
              <w:bottom w:val="single" w:color="000000" w:sz="4" w:space="0"/>
              <w:right w:val="single" w:color="000000" w:sz="4" w:space="0"/>
            </w:tcBorders>
            <w:vAlign w:val="center"/>
          </w:tcPr>
          <w:p w14:paraId="731B7D7D">
            <w:pPr>
              <w:tabs>
                <w:tab w:val="left" w:pos="2520"/>
              </w:tabs>
              <w:spacing w:line="360" w:lineRule="auto"/>
              <w:ind w:left="-6"/>
              <w:jc w:val="center"/>
              <w:rPr>
                <w:rFonts w:hint="eastAsia" w:cs="宋体"/>
                <w:sz w:val="18"/>
                <w:szCs w:val="18"/>
              </w:rPr>
            </w:pPr>
          </w:p>
        </w:tc>
        <w:tc>
          <w:tcPr>
            <w:tcW w:w="1015" w:type="pct"/>
            <w:tcBorders>
              <w:top w:val="single" w:color="000000" w:sz="4" w:space="0"/>
              <w:left w:val="single" w:color="000000" w:sz="4" w:space="0"/>
              <w:bottom w:val="single" w:color="000000" w:sz="4" w:space="0"/>
              <w:right w:val="single" w:color="000000" w:sz="12" w:space="0"/>
            </w:tcBorders>
            <w:vAlign w:val="center"/>
          </w:tcPr>
          <w:p w14:paraId="00AA0CDD">
            <w:pPr>
              <w:tabs>
                <w:tab w:val="left" w:pos="2520"/>
              </w:tabs>
              <w:spacing w:line="360" w:lineRule="auto"/>
              <w:ind w:left="-6"/>
              <w:jc w:val="center"/>
              <w:rPr>
                <w:rFonts w:hint="eastAsia" w:cs="宋体"/>
                <w:sz w:val="18"/>
                <w:szCs w:val="18"/>
              </w:rPr>
            </w:pPr>
          </w:p>
        </w:tc>
      </w:tr>
      <w:tr w14:paraId="35410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1566" w:type="pct"/>
            <w:tcBorders>
              <w:top w:val="single" w:color="000000" w:sz="4" w:space="0"/>
              <w:left w:val="single" w:color="000000" w:sz="12" w:space="0"/>
              <w:bottom w:val="single" w:color="000000" w:sz="4" w:space="0"/>
              <w:right w:val="single" w:color="000000" w:sz="4" w:space="0"/>
            </w:tcBorders>
            <w:vAlign w:val="center"/>
          </w:tcPr>
          <w:p w14:paraId="4D6AD58C">
            <w:pPr>
              <w:tabs>
                <w:tab w:val="left" w:pos="2520"/>
              </w:tabs>
              <w:spacing w:line="360" w:lineRule="auto"/>
              <w:ind w:left="-6"/>
              <w:jc w:val="center"/>
              <w:rPr>
                <w:rFonts w:hint="eastAsia" w:cs="宋体"/>
                <w:sz w:val="18"/>
                <w:szCs w:val="18"/>
              </w:rPr>
            </w:pPr>
          </w:p>
        </w:tc>
        <w:tc>
          <w:tcPr>
            <w:tcW w:w="1127" w:type="pct"/>
            <w:tcBorders>
              <w:top w:val="single" w:color="000000" w:sz="4" w:space="0"/>
              <w:left w:val="single" w:color="000000" w:sz="4" w:space="0"/>
              <w:bottom w:val="single" w:color="000000" w:sz="4" w:space="0"/>
              <w:right w:val="single" w:color="000000" w:sz="4" w:space="0"/>
            </w:tcBorders>
            <w:vAlign w:val="center"/>
          </w:tcPr>
          <w:p w14:paraId="168F29AD">
            <w:pPr>
              <w:tabs>
                <w:tab w:val="left" w:pos="2520"/>
              </w:tabs>
              <w:spacing w:line="360" w:lineRule="auto"/>
              <w:ind w:left="-6"/>
              <w:jc w:val="center"/>
              <w:rPr>
                <w:rFonts w:hint="eastAsia" w:cs="宋体"/>
                <w:sz w:val="18"/>
                <w:szCs w:val="18"/>
              </w:rPr>
            </w:pPr>
          </w:p>
        </w:tc>
        <w:tc>
          <w:tcPr>
            <w:tcW w:w="1290" w:type="pct"/>
            <w:tcBorders>
              <w:top w:val="single" w:color="000000" w:sz="4" w:space="0"/>
              <w:left w:val="single" w:color="000000" w:sz="4" w:space="0"/>
              <w:bottom w:val="single" w:color="000000" w:sz="4" w:space="0"/>
              <w:right w:val="single" w:color="000000" w:sz="4" w:space="0"/>
            </w:tcBorders>
            <w:vAlign w:val="center"/>
          </w:tcPr>
          <w:p w14:paraId="0D3E8A7F">
            <w:pPr>
              <w:tabs>
                <w:tab w:val="left" w:pos="2520"/>
              </w:tabs>
              <w:spacing w:line="360" w:lineRule="auto"/>
              <w:ind w:left="-6"/>
              <w:jc w:val="center"/>
              <w:rPr>
                <w:rFonts w:hint="eastAsia" w:cs="宋体"/>
                <w:sz w:val="18"/>
                <w:szCs w:val="18"/>
              </w:rPr>
            </w:pPr>
          </w:p>
        </w:tc>
        <w:tc>
          <w:tcPr>
            <w:tcW w:w="1015" w:type="pct"/>
            <w:tcBorders>
              <w:top w:val="single" w:color="000000" w:sz="4" w:space="0"/>
              <w:left w:val="single" w:color="000000" w:sz="4" w:space="0"/>
              <w:bottom w:val="single" w:color="000000" w:sz="4" w:space="0"/>
              <w:right w:val="single" w:color="000000" w:sz="12" w:space="0"/>
            </w:tcBorders>
            <w:vAlign w:val="center"/>
          </w:tcPr>
          <w:p w14:paraId="3353E9E7">
            <w:pPr>
              <w:tabs>
                <w:tab w:val="left" w:pos="2520"/>
              </w:tabs>
              <w:spacing w:line="360" w:lineRule="auto"/>
              <w:ind w:left="-6"/>
              <w:jc w:val="center"/>
              <w:rPr>
                <w:rFonts w:hint="eastAsia" w:cs="宋体"/>
                <w:sz w:val="18"/>
                <w:szCs w:val="18"/>
              </w:rPr>
            </w:pPr>
          </w:p>
        </w:tc>
      </w:tr>
      <w:tr w14:paraId="6AF23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0" w:hRule="atLeast"/>
        </w:trPr>
        <w:tc>
          <w:tcPr>
            <w:tcW w:w="1566" w:type="pct"/>
            <w:tcBorders>
              <w:top w:val="single" w:color="000000" w:sz="4" w:space="0"/>
              <w:left w:val="single" w:color="000000" w:sz="12" w:space="0"/>
              <w:bottom w:val="single" w:color="000000" w:sz="12" w:space="0"/>
              <w:right w:val="single" w:color="000000" w:sz="4" w:space="0"/>
            </w:tcBorders>
            <w:vAlign w:val="center"/>
          </w:tcPr>
          <w:p w14:paraId="1B894C37">
            <w:pPr>
              <w:tabs>
                <w:tab w:val="left" w:pos="2520"/>
              </w:tabs>
              <w:spacing w:line="360" w:lineRule="auto"/>
              <w:ind w:left="-6"/>
              <w:jc w:val="center"/>
              <w:rPr>
                <w:rFonts w:hint="eastAsia" w:cs="宋体"/>
                <w:sz w:val="18"/>
                <w:szCs w:val="18"/>
              </w:rPr>
            </w:pPr>
          </w:p>
        </w:tc>
        <w:tc>
          <w:tcPr>
            <w:tcW w:w="1127" w:type="pct"/>
            <w:tcBorders>
              <w:top w:val="single" w:color="000000" w:sz="4" w:space="0"/>
              <w:left w:val="single" w:color="000000" w:sz="4" w:space="0"/>
              <w:bottom w:val="single" w:color="000000" w:sz="12" w:space="0"/>
              <w:right w:val="single" w:color="000000" w:sz="4" w:space="0"/>
            </w:tcBorders>
            <w:vAlign w:val="center"/>
          </w:tcPr>
          <w:p w14:paraId="7D3D98EB">
            <w:pPr>
              <w:tabs>
                <w:tab w:val="left" w:pos="2520"/>
              </w:tabs>
              <w:spacing w:line="360" w:lineRule="auto"/>
              <w:ind w:left="-6"/>
              <w:jc w:val="center"/>
              <w:rPr>
                <w:rFonts w:hint="eastAsia" w:cs="宋体"/>
                <w:sz w:val="18"/>
                <w:szCs w:val="18"/>
              </w:rPr>
            </w:pPr>
          </w:p>
        </w:tc>
        <w:tc>
          <w:tcPr>
            <w:tcW w:w="1290" w:type="pct"/>
            <w:tcBorders>
              <w:top w:val="single" w:color="000000" w:sz="4" w:space="0"/>
              <w:left w:val="single" w:color="000000" w:sz="4" w:space="0"/>
              <w:bottom w:val="single" w:color="000000" w:sz="12" w:space="0"/>
              <w:right w:val="single" w:color="000000" w:sz="4" w:space="0"/>
            </w:tcBorders>
            <w:vAlign w:val="center"/>
          </w:tcPr>
          <w:p w14:paraId="3F205F64">
            <w:pPr>
              <w:tabs>
                <w:tab w:val="left" w:pos="2520"/>
              </w:tabs>
              <w:spacing w:line="360" w:lineRule="auto"/>
              <w:ind w:left="-6"/>
              <w:jc w:val="center"/>
              <w:rPr>
                <w:rFonts w:hint="eastAsia" w:cs="宋体"/>
                <w:sz w:val="18"/>
                <w:szCs w:val="18"/>
              </w:rPr>
            </w:pPr>
          </w:p>
        </w:tc>
        <w:tc>
          <w:tcPr>
            <w:tcW w:w="1015" w:type="pct"/>
            <w:tcBorders>
              <w:top w:val="single" w:color="000000" w:sz="4" w:space="0"/>
              <w:left w:val="single" w:color="000000" w:sz="4" w:space="0"/>
              <w:bottom w:val="single" w:color="000000" w:sz="12" w:space="0"/>
              <w:right w:val="single" w:color="000000" w:sz="12" w:space="0"/>
            </w:tcBorders>
            <w:vAlign w:val="center"/>
          </w:tcPr>
          <w:p w14:paraId="57F84815">
            <w:pPr>
              <w:tabs>
                <w:tab w:val="left" w:pos="2520"/>
              </w:tabs>
              <w:spacing w:line="360" w:lineRule="auto"/>
              <w:ind w:left="-6"/>
              <w:jc w:val="center"/>
              <w:rPr>
                <w:rFonts w:hint="eastAsia" w:cs="宋体"/>
                <w:sz w:val="18"/>
                <w:szCs w:val="18"/>
              </w:rPr>
            </w:pPr>
          </w:p>
        </w:tc>
      </w:tr>
    </w:tbl>
    <w:p w14:paraId="29F0BC68">
      <w:pPr>
        <w:rPr>
          <w:rFonts w:hint="eastAsia"/>
        </w:rPr>
        <w:sectPr>
          <w:headerReference r:id="rId24" w:type="first"/>
          <w:footerReference r:id="rId25" w:type="first"/>
          <w:headerReference r:id="rId23" w:type="default"/>
          <w:pgSz w:w="11906" w:h="16838"/>
          <w:pgMar w:top="1418" w:right="1134" w:bottom="1134" w:left="1418" w:header="1418" w:footer="1134" w:gutter="0"/>
          <w:pgBorders>
            <w:top w:val="none" w:sz="0" w:space="0"/>
            <w:left w:val="none" w:sz="0" w:space="0"/>
            <w:bottom w:val="none" w:sz="0" w:space="0"/>
            <w:right w:val="none" w:sz="0" w:space="0"/>
          </w:pgBorders>
          <w:cols w:space="425" w:num="1"/>
          <w:titlePg/>
          <w:docGrid w:type="lines" w:linePitch="312" w:charSpace="0"/>
        </w:sectPr>
      </w:pPr>
    </w:p>
    <w:p w14:paraId="262A2349">
      <w:pPr>
        <w:pStyle w:val="2"/>
        <w:rPr>
          <w:rFonts w:hint="eastAsia"/>
        </w:rPr>
      </w:pPr>
      <w:r>
        <w:rPr>
          <w:rFonts w:hint="eastAsia" w:ascii="Times New Roman"/>
          <w:szCs w:val="21"/>
        </w:rPr>
        <mc:AlternateContent>
          <mc:Choice Requires="wps">
            <w:drawing>
              <wp:anchor distT="0" distB="0" distL="114300" distR="114300" simplePos="0" relativeHeight="251663360"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3CD5094A">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3360;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3CD5094A">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sectPr>
      <w:headerReference r:id="rId26" w:type="first"/>
      <w:footerReference r:id="rId27" w:type="first"/>
      <w:pgSz w:w="11906" w:h="16838"/>
      <w:pgMar w:top="1418" w:right="1134" w:bottom="1134" w:left="1418" w:header="1418" w:footer="1134"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1935">
    <w:pPr>
      <w:pStyle w:val="11"/>
      <w:rPr>
        <w:rFonts w:hint="eastAsia"/>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13696">
                          <w:pPr>
                            <w:pStyle w:val="11"/>
                            <w:rPr>
                              <w:rFonts w:hint="eastAsia"/>
                            </w:rPr>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W/Ec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l69pUQzhYqffnw/&#10;/Xw4/fpGcAaBWutniLu3iAzdO9OhbYZzj8PIu6ucil8wIvBD3uNFXtEFwuOl6WQ6zeHi8A0b4GeP&#10;163z4b0wikSjoA71S7Kyw8aHPnQIidm0WTdSphpKTVqQeP0m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x5b8RywCAABXBAAADgAAAAAAAAABACAAAAAfAQAAZHJzL2Uyb0RvYy54bWxQSwUGAAAAAAYA&#10;BgBZAQAAvQUAAAAA&#10;">
              <v:fill on="f" focussize="0,0"/>
              <v:stroke on="f" weight="0.5pt"/>
              <v:imagedata o:title=""/>
              <o:lock v:ext="edit" aspectratio="f"/>
              <v:textbox inset="0mm,0mm,0mm,0mm" style="mso-fit-shape-to-text:t;">
                <w:txbxContent>
                  <w:p w14:paraId="4B013696">
                    <w:pPr>
                      <w:pStyle w:val="11"/>
                      <w:rPr>
                        <w:rFonts w:hint="eastAsia"/>
                      </w:rPr>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4A33">
    <w:pPr>
      <w:pStyle w:val="59"/>
      <w:rPr>
        <w:rFonts w:hint="eastAsia"/>
      </w:rPr>
    </w:pPr>
    <w:sdt>
      <w:sdtPr>
        <w:id w:val="147468090"/>
      </w:sdtPr>
      <w:sdtContent>
        <w:r>
          <w:rPr>
            <w:rFonts w:hint="eastAsia"/>
          </w:rPr>
          <w:t>8</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E310">
    <w:pPr>
      <w:pStyle w:val="59"/>
      <w:tabs>
        <w:tab w:val="left" w:pos="207"/>
      </w:tabs>
      <w:rPr>
        <w:rFonts w:hint="eastAsia"/>
      </w:rPr>
    </w:pPr>
    <w:r>
      <w:rPr>
        <w:rStyle w:val="63"/>
        <w:rFonts w:hint="eastAsia"/>
      </w:rPr>
      <w:t>8</w:t>
    </w:r>
    <w:sdt>
      <w:sdtPr>
        <w:id w:val="147469934"/>
        <w:showingPlcHdr/>
      </w:sdtPr>
      <w:sdtContent/>
    </w:sdt>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F3454">
    <w:pPr>
      <w:pStyle w:val="59"/>
      <w:rPr>
        <w:rFonts w:hint="eastAsia"/>
      </w:rPr>
    </w:pPr>
    <w:sdt>
      <w:sdtPr>
        <w:id w:val="147469980"/>
      </w:sdtPr>
      <w:sdtEndPr>
        <w:rPr>
          <w:rStyle w:val="64"/>
        </w:rPr>
      </w:sdtEndPr>
      <w:sdtContent>
        <w:sdt>
          <w:sdtPr>
            <w:id w:val="147478351"/>
          </w:sdtPr>
          <w:sdtContent>
            <w:r>
              <w:rPr>
                <w:rFonts w:hint="eastAsia"/>
              </w:rPr>
              <w:t>6</w:t>
            </w:r>
          </w:sdtContent>
        </w:sdt>
      </w:sdtContent>
    </w:sdt>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01A7B">
    <w:pPr>
      <w:pStyle w:val="58"/>
      <w:rPr>
        <w:rFonts w:hint="eastAsia"/>
      </w:rPr>
    </w:pPr>
    <w:r>
      <w:rPr>
        <w:rStyle w:val="63"/>
        <w:rFonts w:hint="eastAsia"/>
      </w:rPr>
      <w:t>7</w:t>
    </w:r>
    <w:sdt>
      <w:sdtPr>
        <w:id w:val="147452779"/>
      </w:sdtPr>
      <w:sdtContent/>
    </w:sdt>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1577C">
    <w:pPr>
      <w:pStyle w:val="59"/>
      <w:rPr>
        <w:rFonts w:hint="eastAsia"/>
      </w:rPr>
    </w:pPr>
    <w:sdt>
      <w:sdtPr>
        <w:id w:val="147459570"/>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929DB">
    <w:pPr>
      <w:pStyle w:val="58"/>
      <w:rPr>
        <w:rFonts w:hint="eastAsia"/>
      </w:rPr>
    </w:pPr>
    <w:sdt>
      <w:sdtPr>
        <w:id w:val="1447049363"/>
      </w:sdtPr>
      <w:sdtContent>
        <w:r>
          <w:rPr>
            <w:rFonts w:hint="eastAsia"/>
          </w:rPr>
          <w:t>3</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F021F">
    <w:pPr>
      <w:ind w:right="227"/>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8336"/>
    </w:sdtPr>
    <w:sdtContent>
      <w:p w14:paraId="6C42F0F8">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2111"/>
    </w:sdtPr>
    <w:sdtContent>
      <w:p w14:paraId="646FDB3B">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27C8E">
    <w:pPr>
      <w:pStyle w:val="58"/>
      <w:rPr>
        <w:rFonts w:hint="eastAsia"/>
      </w:rPr>
    </w:pPr>
    <w:sdt>
      <w:sdtPr>
        <w:id w:val="147458155"/>
      </w:sdtPr>
      <w:sdtContent>
        <w:r>
          <w:fldChar w:fldCharType="begin"/>
        </w:r>
        <w:r>
          <w:rPr>
            <w:rFonts w:hint="eastAsia"/>
          </w:rPr>
          <w:instrText xml:space="preserve">PAGE   \* MERGEFORMAT</w:instrText>
        </w:r>
        <w:r>
          <w:fldChar w:fldCharType="separate"/>
        </w:r>
        <w:r>
          <w:rPr>
            <w:rFonts w:hint="eastAsia"/>
            <w:lang w:val="zh-CN"/>
          </w:rPr>
          <w:t>2</w:t>
        </w:r>
        <w:r>
          <w:fldChar w:fldCharType="end"/>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333"/>
    </w:sdtPr>
    <w:sdtContent>
      <w:p w14:paraId="08D40CE9">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556"/>
    </w:sdtPr>
    <w:sdtContent>
      <w:p w14:paraId="03DDF929">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8C11">
    <w:pPr>
      <w:pStyle w:val="58"/>
      <w:rPr>
        <w:rFonts w:hint="eastAsia"/>
      </w:rPr>
    </w:pPr>
    <w:sdt>
      <w:sdtPr>
        <w:id w:val="147463093"/>
      </w:sdtPr>
      <w:sdtContent>
        <w:r>
          <w:fldChar w:fldCharType="begin"/>
        </w:r>
        <w:r>
          <w:rPr>
            <w:rFonts w:hint="eastAsia"/>
          </w:rPr>
          <w:instrText xml:space="preserve">PAGE   \* MERGEFORMAT</w:instrText>
        </w:r>
        <w:r>
          <w:fldChar w:fldCharType="separate"/>
        </w:r>
        <w:r>
          <w:rPr>
            <w:rFonts w:hint="eastAsia"/>
            <w:lang w:val="zh-CN"/>
          </w:rPr>
          <w:t>2</w:t>
        </w:r>
        <w:r>
          <w:fldChar w:fldCharType="end"/>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9068C">
    <w:pPr>
      <w:pStyle w:val="26"/>
      <w:rPr>
        <w:rFonts w:hint="eastAsia"/>
      </w:rPr>
    </w:pPr>
    <w:r>
      <w:rPr>
        <w:rFonts w:hint="eastAsia"/>
      </w:rPr>
      <w:t>T/CSICE 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0E80">
    <w:pPr>
      <w:pStyle w:val="46"/>
      <w:rPr>
        <w:rFonts w:hint="eastAsia"/>
      </w:rPr>
    </w:pPr>
    <w:r>
      <w:rPr>
        <w:rFonts w:hint="eastAsia"/>
      </w:rPr>
      <w:t>T/CSICE XXX-XXX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5C821">
    <w:pPr>
      <w:pStyle w:val="26"/>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6E787">
    <w:pPr>
      <w:jc w:val="right"/>
      <w:rPr>
        <w:rFonts w:hint="eastAsia" w:ascii="黑体" w:hAnsi="黑体" w:eastAsia="黑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954E5">
    <w:pPr>
      <w:pStyle w:val="46"/>
      <w:rPr>
        <w:rFonts w:hint="eastAsia"/>
      </w:rPr>
    </w:pPr>
    <w:r>
      <w:rPr>
        <w:rFonts w:hint="eastAsia"/>
      </w:rPr>
      <w:t>T/CSICE 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4107D">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95CE1">
    <w:pPr>
      <w:pStyle w:val="46"/>
      <w:rPr>
        <w:rFonts w:hint="eastAsia"/>
      </w:rPr>
    </w:pPr>
    <w:r>
      <w:rPr>
        <w:rFonts w:hint="eastAsia"/>
      </w:rPr>
      <w:t>T/CSICE 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38DC6">
    <w:pPr>
      <w:pStyle w:val="26"/>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02AC8">
    <w:pPr>
      <w:pStyle w:val="46"/>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9836C">
    <w:pPr>
      <w:pStyle w:val="26"/>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D16D9">
    <w:pPr>
      <w:pStyle w:val="26"/>
      <w:rPr>
        <w:rFonts w:hint="eastAsia"/>
      </w:rPr>
    </w:pPr>
    <w:r>
      <w:rPr>
        <w:rFonts w:hint="eastAsia"/>
      </w:rPr>
      <w:t>T/CSICE XXX-XXX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72808"/>
    <w:rsid w:val="000836DF"/>
    <w:rsid w:val="000859ED"/>
    <w:rsid w:val="000906FA"/>
    <w:rsid w:val="00091DAD"/>
    <w:rsid w:val="00097670"/>
    <w:rsid w:val="000B0CC7"/>
    <w:rsid w:val="000B6AD2"/>
    <w:rsid w:val="000C7A74"/>
    <w:rsid w:val="000D13FE"/>
    <w:rsid w:val="000D3B4E"/>
    <w:rsid w:val="000D4D28"/>
    <w:rsid w:val="000D6BE0"/>
    <w:rsid w:val="000D7BF0"/>
    <w:rsid w:val="000E19D1"/>
    <w:rsid w:val="000E1A27"/>
    <w:rsid w:val="000E6263"/>
    <w:rsid w:val="000E77B6"/>
    <w:rsid w:val="000F340C"/>
    <w:rsid w:val="0010124A"/>
    <w:rsid w:val="00105868"/>
    <w:rsid w:val="00105977"/>
    <w:rsid w:val="00105F99"/>
    <w:rsid w:val="00106B7F"/>
    <w:rsid w:val="00111C88"/>
    <w:rsid w:val="0012462F"/>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23C7A"/>
    <w:rsid w:val="0022407F"/>
    <w:rsid w:val="00224C2A"/>
    <w:rsid w:val="00234A78"/>
    <w:rsid w:val="002363E4"/>
    <w:rsid w:val="00236879"/>
    <w:rsid w:val="002434DA"/>
    <w:rsid w:val="00253011"/>
    <w:rsid w:val="002547BB"/>
    <w:rsid w:val="00254905"/>
    <w:rsid w:val="002602A7"/>
    <w:rsid w:val="00262753"/>
    <w:rsid w:val="00262EB4"/>
    <w:rsid w:val="002662EA"/>
    <w:rsid w:val="002679A7"/>
    <w:rsid w:val="0027609B"/>
    <w:rsid w:val="00276F11"/>
    <w:rsid w:val="00280358"/>
    <w:rsid w:val="002824F9"/>
    <w:rsid w:val="002851E4"/>
    <w:rsid w:val="00286BE6"/>
    <w:rsid w:val="002909F9"/>
    <w:rsid w:val="00294568"/>
    <w:rsid w:val="00295DA9"/>
    <w:rsid w:val="002A1DB8"/>
    <w:rsid w:val="002A51FB"/>
    <w:rsid w:val="002A68B6"/>
    <w:rsid w:val="002B2FAB"/>
    <w:rsid w:val="002B2FBC"/>
    <w:rsid w:val="002B3332"/>
    <w:rsid w:val="002B431A"/>
    <w:rsid w:val="002C1FFB"/>
    <w:rsid w:val="002C71DE"/>
    <w:rsid w:val="002C79F6"/>
    <w:rsid w:val="002D1346"/>
    <w:rsid w:val="002D1975"/>
    <w:rsid w:val="002D2DDD"/>
    <w:rsid w:val="002D4A6F"/>
    <w:rsid w:val="002D7C4D"/>
    <w:rsid w:val="002E3C54"/>
    <w:rsid w:val="002E43C9"/>
    <w:rsid w:val="002E4482"/>
    <w:rsid w:val="002E4546"/>
    <w:rsid w:val="002E6134"/>
    <w:rsid w:val="002F223F"/>
    <w:rsid w:val="003078D7"/>
    <w:rsid w:val="003105FC"/>
    <w:rsid w:val="00314CCA"/>
    <w:rsid w:val="00315621"/>
    <w:rsid w:val="00320206"/>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6CFE"/>
    <w:rsid w:val="00387EE6"/>
    <w:rsid w:val="00390170"/>
    <w:rsid w:val="0039571B"/>
    <w:rsid w:val="003B46C9"/>
    <w:rsid w:val="003C299C"/>
    <w:rsid w:val="003C52BA"/>
    <w:rsid w:val="003C6D13"/>
    <w:rsid w:val="003D3142"/>
    <w:rsid w:val="003D350A"/>
    <w:rsid w:val="003D7C87"/>
    <w:rsid w:val="003E33D7"/>
    <w:rsid w:val="003E62BF"/>
    <w:rsid w:val="003F73D9"/>
    <w:rsid w:val="004043D3"/>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81490"/>
    <w:rsid w:val="004824ED"/>
    <w:rsid w:val="00494091"/>
    <w:rsid w:val="00495D5A"/>
    <w:rsid w:val="00497C36"/>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809EA"/>
    <w:rsid w:val="006847E9"/>
    <w:rsid w:val="00687EB1"/>
    <w:rsid w:val="00690423"/>
    <w:rsid w:val="00692600"/>
    <w:rsid w:val="006A639E"/>
    <w:rsid w:val="006A63E7"/>
    <w:rsid w:val="006C67DC"/>
    <w:rsid w:val="006D77B5"/>
    <w:rsid w:val="006E3B72"/>
    <w:rsid w:val="006F2F65"/>
    <w:rsid w:val="006F2FCB"/>
    <w:rsid w:val="006F348D"/>
    <w:rsid w:val="006F5F2B"/>
    <w:rsid w:val="006F756B"/>
    <w:rsid w:val="00703D0E"/>
    <w:rsid w:val="00704615"/>
    <w:rsid w:val="00705F41"/>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509D8"/>
    <w:rsid w:val="00757447"/>
    <w:rsid w:val="00784107"/>
    <w:rsid w:val="00787139"/>
    <w:rsid w:val="00791CF9"/>
    <w:rsid w:val="007944FD"/>
    <w:rsid w:val="007A1259"/>
    <w:rsid w:val="007A2652"/>
    <w:rsid w:val="007A4BEE"/>
    <w:rsid w:val="007B4B82"/>
    <w:rsid w:val="007C48D9"/>
    <w:rsid w:val="007D1A98"/>
    <w:rsid w:val="007D1B28"/>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321C2"/>
    <w:rsid w:val="00833D14"/>
    <w:rsid w:val="00835037"/>
    <w:rsid w:val="00836180"/>
    <w:rsid w:val="00836B4F"/>
    <w:rsid w:val="008406C7"/>
    <w:rsid w:val="00843D0D"/>
    <w:rsid w:val="0084722A"/>
    <w:rsid w:val="008474F6"/>
    <w:rsid w:val="0085190A"/>
    <w:rsid w:val="00863E30"/>
    <w:rsid w:val="0086754C"/>
    <w:rsid w:val="00867FDA"/>
    <w:rsid w:val="00871F27"/>
    <w:rsid w:val="0087384B"/>
    <w:rsid w:val="00876DE4"/>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E4863"/>
    <w:rsid w:val="008E594C"/>
    <w:rsid w:val="008E67FA"/>
    <w:rsid w:val="008F3059"/>
    <w:rsid w:val="008F47E1"/>
    <w:rsid w:val="008F56F8"/>
    <w:rsid w:val="008F5786"/>
    <w:rsid w:val="008F7F72"/>
    <w:rsid w:val="009068F3"/>
    <w:rsid w:val="0091005B"/>
    <w:rsid w:val="00911572"/>
    <w:rsid w:val="00913CDD"/>
    <w:rsid w:val="009140E1"/>
    <w:rsid w:val="00914355"/>
    <w:rsid w:val="009148AC"/>
    <w:rsid w:val="00920024"/>
    <w:rsid w:val="00921F64"/>
    <w:rsid w:val="00924D1E"/>
    <w:rsid w:val="00953A10"/>
    <w:rsid w:val="00967B84"/>
    <w:rsid w:val="00972AB0"/>
    <w:rsid w:val="00973537"/>
    <w:rsid w:val="0097580F"/>
    <w:rsid w:val="009810FC"/>
    <w:rsid w:val="00982E08"/>
    <w:rsid w:val="00991053"/>
    <w:rsid w:val="0099161A"/>
    <w:rsid w:val="009917D4"/>
    <w:rsid w:val="00995655"/>
    <w:rsid w:val="00997105"/>
    <w:rsid w:val="009A009F"/>
    <w:rsid w:val="009A0ED8"/>
    <w:rsid w:val="009A2ABB"/>
    <w:rsid w:val="009A3FD8"/>
    <w:rsid w:val="009A41F9"/>
    <w:rsid w:val="009C1012"/>
    <w:rsid w:val="009C43C6"/>
    <w:rsid w:val="009C7DE5"/>
    <w:rsid w:val="009D0241"/>
    <w:rsid w:val="009D1F8F"/>
    <w:rsid w:val="009D3782"/>
    <w:rsid w:val="009D7C37"/>
    <w:rsid w:val="009E1703"/>
    <w:rsid w:val="009F036A"/>
    <w:rsid w:val="009F113B"/>
    <w:rsid w:val="009F33FE"/>
    <w:rsid w:val="009F6E9F"/>
    <w:rsid w:val="009F7F6B"/>
    <w:rsid w:val="00A028A2"/>
    <w:rsid w:val="00A02DAE"/>
    <w:rsid w:val="00A0378D"/>
    <w:rsid w:val="00A10576"/>
    <w:rsid w:val="00A11DF0"/>
    <w:rsid w:val="00A17007"/>
    <w:rsid w:val="00A20EC0"/>
    <w:rsid w:val="00A26F80"/>
    <w:rsid w:val="00A34490"/>
    <w:rsid w:val="00A37583"/>
    <w:rsid w:val="00A40FB4"/>
    <w:rsid w:val="00A41A24"/>
    <w:rsid w:val="00A47D13"/>
    <w:rsid w:val="00A57701"/>
    <w:rsid w:val="00A6188B"/>
    <w:rsid w:val="00A6224E"/>
    <w:rsid w:val="00A62BB4"/>
    <w:rsid w:val="00A653B3"/>
    <w:rsid w:val="00A70AFD"/>
    <w:rsid w:val="00A71288"/>
    <w:rsid w:val="00A72012"/>
    <w:rsid w:val="00A7773A"/>
    <w:rsid w:val="00A827E1"/>
    <w:rsid w:val="00A83E9D"/>
    <w:rsid w:val="00A9087C"/>
    <w:rsid w:val="00A92874"/>
    <w:rsid w:val="00AA1823"/>
    <w:rsid w:val="00AA3E6F"/>
    <w:rsid w:val="00AA3F7E"/>
    <w:rsid w:val="00AB068B"/>
    <w:rsid w:val="00AB229E"/>
    <w:rsid w:val="00AB26CA"/>
    <w:rsid w:val="00AC00E1"/>
    <w:rsid w:val="00AC14D7"/>
    <w:rsid w:val="00AC19DA"/>
    <w:rsid w:val="00AC46E2"/>
    <w:rsid w:val="00AD0B4D"/>
    <w:rsid w:val="00AD3C22"/>
    <w:rsid w:val="00AD4156"/>
    <w:rsid w:val="00AE2442"/>
    <w:rsid w:val="00AE3E7A"/>
    <w:rsid w:val="00AE4C68"/>
    <w:rsid w:val="00AE5331"/>
    <w:rsid w:val="00AE6596"/>
    <w:rsid w:val="00AE7B34"/>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A88"/>
    <w:rsid w:val="00B726FA"/>
    <w:rsid w:val="00B76B59"/>
    <w:rsid w:val="00B85C19"/>
    <w:rsid w:val="00B87374"/>
    <w:rsid w:val="00B971FD"/>
    <w:rsid w:val="00BA1B14"/>
    <w:rsid w:val="00BA2E6E"/>
    <w:rsid w:val="00BA6097"/>
    <w:rsid w:val="00BB5371"/>
    <w:rsid w:val="00BB6ED2"/>
    <w:rsid w:val="00BC2580"/>
    <w:rsid w:val="00BC4A2A"/>
    <w:rsid w:val="00BC7734"/>
    <w:rsid w:val="00BE2989"/>
    <w:rsid w:val="00BE513C"/>
    <w:rsid w:val="00BF09E1"/>
    <w:rsid w:val="00BF0A07"/>
    <w:rsid w:val="00BF46DC"/>
    <w:rsid w:val="00BF5D24"/>
    <w:rsid w:val="00C02F55"/>
    <w:rsid w:val="00C04409"/>
    <w:rsid w:val="00C06023"/>
    <w:rsid w:val="00C13F57"/>
    <w:rsid w:val="00C17CD8"/>
    <w:rsid w:val="00C24E45"/>
    <w:rsid w:val="00C276C4"/>
    <w:rsid w:val="00C27EC0"/>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A71A1"/>
    <w:rsid w:val="00CB3A1F"/>
    <w:rsid w:val="00CC07EA"/>
    <w:rsid w:val="00CC75E1"/>
    <w:rsid w:val="00CD7C67"/>
    <w:rsid w:val="00CE03D5"/>
    <w:rsid w:val="00CE322D"/>
    <w:rsid w:val="00CF1974"/>
    <w:rsid w:val="00CF5D21"/>
    <w:rsid w:val="00D0340F"/>
    <w:rsid w:val="00D050F0"/>
    <w:rsid w:val="00D05FE5"/>
    <w:rsid w:val="00D11AF3"/>
    <w:rsid w:val="00D12787"/>
    <w:rsid w:val="00D14C0F"/>
    <w:rsid w:val="00D26F18"/>
    <w:rsid w:val="00D30EED"/>
    <w:rsid w:val="00D3269C"/>
    <w:rsid w:val="00D3394A"/>
    <w:rsid w:val="00D360AD"/>
    <w:rsid w:val="00D37324"/>
    <w:rsid w:val="00D37D30"/>
    <w:rsid w:val="00D42D1F"/>
    <w:rsid w:val="00D446D5"/>
    <w:rsid w:val="00D530F3"/>
    <w:rsid w:val="00D54BF9"/>
    <w:rsid w:val="00D54F79"/>
    <w:rsid w:val="00D669CA"/>
    <w:rsid w:val="00D70094"/>
    <w:rsid w:val="00D71B9D"/>
    <w:rsid w:val="00D71C48"/>
    <w:rsid w:val="00D73737"/>
    <w:rsid w:val="00D81BB7"/>
    <w:rsid w:val="00D903B6"/>
    <w:rsid w:val="00D94A36"/>
    <w:rsid w:val="00D955AF"/>
    <w:rsid w:val="00DA3A81"/>
    <w:rsid w:val="00DB5352"/>
    <w:rsid w:val="00DB7595"/>
    <w:rsid w:val="00DC1862"/>
    <w:rsid w:val="00DC323A"/>
    <w:rsid w:val="00DC6555"/>
    <w:rsid w:val="00DD4028"/>
    <w:rsid w:val="00DD4E01"/>
    <w:rsid w:val="00DE176F"/>
    <w:rsid w:val="00DE5351"/>
    <w:rsid w:val="00DF1574"/>
    <w:rsid w:val="00DF279B"/>
    <w:rsid w:val="00DF49E0"/>
    <w:rsid w:val="00DF5D88"/>
    <w:rsid w:val="00DF60A4"/>
    <w:rsid w:val="00E0470A"/>
    <w:rsid w:val="00E0618D"/>
    <w:rsid w:val="00E06F65"/>
    <w:rsid w:val="00E2322C"/>
    <w:rsid w:val="00E24895"/>
    <w:rsid w:val="00E2679D"/>
    <w:rsid w:val="00E37098"/>
    <w:rsid w:val="00E44834"/>
    <w:rsid w:val="00E459CF"/>
    <w:rsid w:val="00E47199"/>
    <w:rsid w:val="00E47530"/>
    <w:rsid w:val="00E507BC"/>
    <w:rsid w:val="00E52B86"/>
    <w:rsid w:val="00E5425F"/>
    <w:rsid w:val="00E54537"/>
    <w:rsid w:val="00E5472E"/>
    <w:rsid w:val="00E54E5A"/>
    <w:rsid w:val="00E55BD9"/>
    <w:rsid w:val="00E621DE"/>
    <w:rsid w:val="00E62917"/>
    <w:rsid w:val="00E63465"/>
    <w:rsid w:val="00E64D36"/>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41DF"/>
    <w:rsid w:val="00EE1785"/>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81A65"/>
    <w:rsid w:val="00F860CE"/>
    <w:rsid w:val="00F97508"/>
    <w:rsid w:val="00FA40CB"/>
    <w:rsid w:val="00FA6BC4"/>
    <w:rsid w:val="00FB35AB"/>
    <w:rsid w:val="00FB5B68"/>
    <w:rsid w:val="00FC2401"/>
    <w:rsid w:val="00FC2825"/>
    <w:rsid w:val="00FD6115"/>
    <w:rsid w:val="00FE02CE"/>
    <w:rsid w:val="00FE0970"/>
    <w:rsid w:val="00FE7889"/>
    <w:rsid w:val="00FF6A28"/>
    <w:rsid w:val="00FF7FDD"/>
    <w:rsid w:val="010334B8"/>
    <w:rsid w:val="011027CE"/>
    <w:rsid w:val="017130ED"/>
    <w:rsid w:val="01784FAE"/>
    <w:rsid w:val="018C50C7"/>
    <w:rsid w:val="02145195"/>
    <w:rsid w:val="02215E8E"/>
    <w:rsid w:val="0222008D"/>
    <w:rsid w:val="0233162C"/>
    <w:rsid w:val="02411AB9"/>
    <w:rsid w:val="028945B9"/>
    <w:rsid w:val="029B2F0C"/>
    <w:rsid w:val="03256636"/>
    <w:rsid w:val="036E5ACE"/>
    <w:rsid w:val="03B617A8"/>
    <w:rsid w:val="03F70F0C"/>
    <w:rsid w:val="03FC2E16"/>
    <w:rsid w:val="04164CFB"/>
    <w:rsid w:val="041C114C"/>
    <w:rsid w:val="044C3A2F"/>
    <w:rsid w:val="04F62134"/>
    <w:rsid w:val="05110760"/>
    <w:rsid w:val="05264E82"/>
    <w:rsid w:val="056239E2"/>
    <w:rsid w:val="056D55F6"/>
    <w:rsid w:val="05D3081E"/>
    <w:rsid w:val="05EB03D3"/>
    <w:rsid w:val="06F53E3D"/>
    <w:rsid w:val="06F772FB"/>
    <w:rsid w:val="06FE2509"/>
    <w:rsid w:val="071B4038"/>
    <w:rsid w:val="071E1739"/>
    <w:rsid w:val="074F100F"/>
    <w:rsid w:val="0763222E"/>
    <w:rsid w:val="07F13FAE"/>
    <w:rsid w:val="07F17513"/>
    <w:rsid w:val="08261F6C"/>
    <w:rsid w:val="082F067D"/>
    <w:rsid w:val="088D2C15"/>
    <w:rsid w:val="08C21DEA"/>
    <w:rsid w:val="08EE6E9A"/>
    <w:rsid w:val="09060EE6"/>
    <w:rsid w:val="090A12E5"/>
    <w:rsid w:val="091B29D8"/>
    <w:rsid w:val="095A7724"/>
    <w:rsid w:val="097F12A3"/>
    <w:rsid w:val="09884131"/>
    <w:rsid w:val="09A84666"/>
    <w:rsid w:val="09B15352"/>
    <w:rsid w:val="09C83435"/>
    <w:rsid w:val="09CC5B1F"/>
    <w:rsid w:val="09DC0C8E"/>
    <w:rsid w:val="0A243FB0"/>
    <w:rsid w:val="0A603E15"/>
    <w:rsid w:val="0AA12680"/>
    <w:rsid w:val="0ABA1F25"/>
    <w:rsid w:val="0AC22BB4"/>
    <w:rsid w:val="0AF02C43"/>
    <w:rsid w:val="0B420794"/>
    <w:rsid w:val="0B83184E"/>
    <w:rsid w:val="0B8769D7"/>
    <w:rsid w:val="0B883877"/>
    <w:rsid w:val="0B8A6D7A"/>
    <w:rsid w:val="0BA0250C"/>
    <w:rsid w:val="0BD107F3"/>
    <w:rsid w:val="0BD8017E"/>
    <w:rsid w:val="0BE20A8D"/>
    <w:rsid w:val="0C1E4A2F"/>
    <w:rsid w:val="0C537AC8"/>
    <w:rsid w:val="0C663265"/>
    <w:rsid w:val="0C6841EA"/>
    <w:rsid w:val="0C970F7A"/>
    <w:rsid w:val="0CD36378"/>
    <w:rsid w:val="0D0230E3"/>
    <w:rsid w:val="0D0522AA"/>
    <w:rsid w:val="0D215B97"/>
    <w:rsid w:val="0D29306A"/>
    <w:rsid w:val="0D2D522C"/>
    <w:rsid w:val="0D3D0F36"/>
    <w:rsid w:val="0DBA3AA3"/>
    <w:rsid w:val="0E286749"/>
    <w:rsid w:val="0E370B89"/>
    <w:rsid w:val="0E403DF0"/>
    <w:rsid w:val="0E451EA1"/>
    <w:rsid w:val="0E571AD1"/>
    <w:rsid w:val="0E8841E4"/>
    <w:rsid w:val="0E8B5169"/>
    <w:rsid w:val="0EFF5127"/>
    <w:rsid w:val="0F55715B"/>
    <w:rsid w:val="0F632C4E"/>
    <w:rsid w:val="0F7C7F74"/>
    <w:rsid w:val="0FE043E9"/>
    <w:rsid w:val="100D7DF3"/>
    <w:rsid w:val="101739F6"/>
    <w:rsid w:val="101C207C"/>
    <w:rsid w:val="10364466"/>
    <w:rsid w:val="103A162C"/>
    <w:rsid w:val="105E6369"/>
    <w:rsid w:val="10841B04"/>
    <w:rsid w:val="10AB0A74"/>
    <w:rsid w:val="118947D1"/>
    <w:rsid w:val="11F2677F"/>
    <w:rsid w:val="11F51902"/>
    <w:rsid w:val="11FF551A"/>
    <w:rsid w:val="12301AE7"/>
    <w:rsid w:val="1277798E"/>
    <w:rsid w:val="12E526E7"/>
    <w:rsid w:val="1330168A"/>
    <w:rsid w:val="133B7A1B"/>
    <w:rsid w:val="133E6515"/>
    <w:rsid w:val="136E6F70"/>
    <w:rsid w:val="138E25FB"/>
    <w:rsid w:val="13FF58F2"/>
    <w:rsid w:val="14370BB7"/>
    <w:rsid w:val="144338AE"/>
    <w:rsid w:val="144A310D"/>
    <w:rsid w:val="145B6D23"/>
    <w:rsid w:val="147A2925"/>
    <w:rsid w:val="14B14FFE"/>
    <w:rsid w:val="14B43A04"/>
    <w:rsid w:val="14DC2E85"/>
    <w:rsid w:val="15065D8D"/>
    <w:rsid w:val="152A4CC8"/>
    <w:rsid w:val="15552272"/>
    <w:rsid w:val="1560191E"/>
    <w:rsid w:val="15670902"/>
    <w:rsid w:val="15977BC9"/>
    <w:rsid w:val="159B361E"/>
    <w:rsid w:val="15AF07A4"/>
    <w:rsid w:val="15C962CC"/>
    <w:rsid w:val="15EE2487"/>
    <w:rsid w:val="15F17D33"/>
    <w:rsid w:val="16094BB9"/>
    <w:rsid w:val="1636135F"/>
    <w:rsid w:val="163760FE"/>
    <w:rsid w:val="16535A2F"/>
    <w:rsid w:val="166A350D"/>
    <w:rsid w:val="168A398A"/>
    <w:rsid w:val="16936818"/>
    <w:rsid w:val="16BE59A3"/>
    <w:rsid w:val="16DE3414"/>
    <w:rsid w:val="17267F85"/>
    <w:rsid w:val="17423139"/>
    <w:rsid w:val="179238C2"/>
    <w:rsid w:val="17AF5CEB"/>
    <w:rsid w:val="17B133ED"/>
    <w:rsid w:val="17D9680D"/>
    <w:rsid w:val="17FA7064"/>
    <w:rsid w:val="18116C89"/>
    <w:rsid w:val="18375EEC"/>
    <w:rsid w:val="18451E9C"/>
    <w:rsid w:val="186C580B"/>
    <w:rsid w:val="18AA1406"/>
    <w:rsid w:val="18AB3604"/>
    <w:rsid w:val="18B43F14"/>
    <w:rsid w:val="18D80C51"/>
    <w:rsid w:val="18D93F08"/>
    <w:rsid w:val="192F4936"/>
    <w:rsid w:val="19314B52"/>
    <w:rsid w:val="19553A9D"/>
    <w:rsid w:val="195F0AAC"/>
    <w:rsid w:val="196327C9"/>
    <w:rsid w:val="19877AF0"/>
    <w:rsid w:val="198B6441"/>
    <w:rsid w:val="19B7311B"/>
    <w:rsid w:val="19C575D4"/>
    <w:rsid w:val="1A173B5B"/>
    <w:rsid w:val="1A4D07B2"/>
    <w:rsid w:val="1A5171B8"/>
    <w:rsid w:val="1A8D159C"/>
    <w:rsid w:val="1A9C3DB4"/>
    <w:rsid w:val="1AB4145B"/>
    <w:rsid w:val="1AC474F7"/>
    <w:rsid w:val="1B010554"/>
    <w:rsid w:val="1B114159"/>
    <w:rsid w:val="1B247AC3"/>
    <w:rsid w:val="1B304628"/>
    <w:rsid w:val="1B4A2C53"/>
    <w:rsid w:val="1B633B7D"/>
    <w:rsid w:val="1B6D668B"/>
    <w:rsid w:val="1BAC5276"/>
    <w:rsid w:val="1BAF61FB"/>
    <w:rsid w:val="1BB27180"/>
    <w:rsid w:val="1BBE3B9F"/>
    <w:rsid w:val="1BBE499E"/>
    <w:rsid w:val="1BEF11E3"/>
    <w:rsid w:val="1BF06C65"/>
    <w:rsid w:val="1C0A780E"/>
    <w:rsid w:val="1C1D682F"/>
    <w:rsid w:val="1C2C1048"/>
    <w:rsid w:val="1C307A4E"/>
    <w:rsid w:val="1C441E18"/>
    <w:rsid w:val="1C857158"/>
    <w:rsid w:val="1C974E74"/>
    <w:rsid w:val="1CB966AD"/>
    <w:rsid w:val="1CC03ABA"/>
    <w:rsid w:val="1CD83537"/>
    <w:rsid w:val="1CE44F73"/>
    <w:rsid w:val="1D40568D"/>
    <w:rsid w:val="1D6923E1"/>
    <w:rsid w:val="1D8A2A83"/>
    <w:rsid w:val="1DAC49BC"/>
    <w:rsid w:val="1DDF3F11"/>
    <w:rsid w:val="1DE026A3"/>
    <w:rsid w:val="1DE40399"/>
    <w:rsid w:val="1DEE0CA9"/>
    <w:rsid w:val="1E0B605A"/>
    <w:rsid w:val="1E5A5DD9"/>
    <w:rsid w:val="1EF33F6B"/>
    <w:rsid w:val="1F106FB8"/>
    <w:rsid w:val="1F610B8A"/>
    <w:rsid w:val="1F7237CF"/>
    <w:rsid w:val="1F8D4ED2"/>
    <w:rsid w:val="1FA328F8"/>
    <w:rsid w:val="1FBE56A1"/>
    <w:rsid w:val="2008261D"/>
    <w:rsid w:val="20967902"/>
    <w:rsid w:val="20B239AF"/>
    <w:rsid w:val="20E45483"/>
    <w:rsid w:val="211103B4"/>
    <w:rsid w:val="212152E8"/>
    <w:rsid w:val="2139298F"/>
    <w:rsid w:val="213C7197"/>
    <w:rsid w:val="219F1468"/>
    <w:rsid w:val="21E604A4"/>
    <w:rsid w:val="2217457B"/>
    <w:rsid w:val="22353B2B"/>
    <w:rsid w:val="225C42C2"/>
    <w:rsid w:val="22723990"/>
    <w:rsid w:val="22727213"/>
    <w:rsid w:val="228161A9"/>
    <w:rsid w:val="22891CE6"/>
    <w:rsid w:val="22F2367C"/>
    <w:rsid w:val="230D5D8D"/>
    <w:rsid w:val="231C3E29"/>
    <w:rsid w:val="234671EC"/>
    <w:rsid w:val="240E24B8"/>
    <w:rsid w:val="246A25D1"/>
    <w:rsid w:val="248E2A06"/>
    <w:rsid w:val="24C95021"/>
    <w:rsid w:val="24C97368"/>
    <w:rsid w:val="24DB2B05"/>
    <w:rsid w:val="24EC2D9F"/>
    <w:rsid w:val="253C76A7"/>
    <w:rsid w:val="25832019"/>
    <w:rsid w:val="25DD5BAB"/>
    <w:rsid w:val="25EB6F94"/>
    <w:rsid w:val="260A3257"/>
    <w:rsid w:val="26A3506B"/>
    <w:rsid w:val="26DC4BB8"/>
    <w:rsid w:val="26EE4AEF"/>
    <w:rsid w:val="27015D0E"/>
    <w:rsid w:val="271E783C"/>
    <w:rsid w:val="27983C83"/>
    <w:rsid w:val="27C97CD5"/>
    <w:rsid w:val="27D07660"/>
    <w:rsid w:val="27D668C5"/>
    <w:rsid w:val="27DF65F5"/>
    <w:rsid w:val="27E109D8"/>
    <w:rsid w:val="27FE5931"/>
    <w:rsid w:val="280542B6"/>
    <w:rsid w:val="282E0917"/>
    <w:rsid w:val="285478B9"/>
    <w:rsid w:val="287D0A7D"/>
    <w:rsid w:val="28D82090"/>
    <w:rsid w:val="28E422ED"/>
    <w:rsid w:val="293F2D39"/>
    <w:rsid w:val="2A20206A"/>
    <w:rsid w:val="2A496A6F"/>
    <w:rsid w:val="2AA76E09"/>
    <w:rsid w:val="2AB90504"/>
    <w:rsid w:val="2AD662DD"/>
    <w:rsid w:val="2ADC1861"/>
    <w:rsid w:val="2AEB07F7"/>
    <w:rsid w:val="2B1A1346"/>
    <w:rsid w:val="2B1D6727"/>
    <w:rsid w:val="2B9A2F19"/>
    <w:rsid w:val="2BBD0B4F"/>
    <w:rsid w:val="2BC55F5B"/>
    <w:rsid w:val="2C61165D"/>
    <w:rsid w:val="2C8E3426"/>
    <w:rsid w:val="2CB43665"/>
    <w:rsid w:val="2CB9733D"/>
    <w:rsid w:val="2CEB264E"/>
    <w:rsid w:val="2CF66EF2"/>
    <w:rsid w:val="2CFE27E0"/>
    <w:rsid w:val="2D335238"/>
    <w:rsid w:val="2D347437"/>
    <w:rsid w:val="2D6C2E14"/>
    <w:rsid w:val="2DB9081B"/>
    <w:rsid w:val="2DC33823"/>
    <w:rsid w:val="2E086516"/>
    <w:rsid w:val="2E155912"/>
    <w:rsid w:val="2E6E5EBA"/>
    <w:rsid w:val="2E7964C2"/>
    <w:rsid w:val="2ED975A3"/>
    <w:rsid w:val="2EE62680"/>
    <w:rsid w:val="2F3B1D8A"/>
    <w:rsid w:val="2F6824F8"/>
    <w:rsid w:val="2FB53C52"/>
    <w:rsid w:val="30030C79"/>
    <w:rsid w:val="30164F71"/>
    <w:rsid w:val="305E446B"/>
    <w:rsid w:val="30AA79E3"/>
    <w:rsid w:val="30B17955"/>
    <w:rsid w:val="30C41C11"/>
    <w:rsid w:val="30C62B96"/>
    <w:rsid w:val="30F665A6"/>
    <w:rsid w:val="310C2006"/>
    <w:rsid w:val="31D125D7"/>
    <w:rsid w:val="31D3074A"/>
    <w:rsid w:val="31E27F21"/>
    <w:rsid w:val="31FD2C13"/>
    <w:rsid w:val="320E092F"/>
    <w:rsid w:val="32673BB2"/>
    <w:rsid w:val="327015D7"/>
    <w:rsid w:val="32C44BDA"/>
    <w:rsid w:val="33036367"/>
    <w:rsid w:val="330C4FCE"/>
    <w:rsid w:val="332C7A82"/>
    <w:rsid w:val="33356193"/>
    <w:rsid w:val="33571BCB"/>
    <w:rsid w:val="336530DF"/>
    <w:rsid w:val="339C6E3C"/>
    <w:rsid w:val="33C030A8"/>
    <w:rsid w:val="33D25C91"/>
    <w:rsid w:val="33FC54A8"/>
    <w:rsid w:val="34010D5F"/>
    <w:rsid w:val="34332832"/>
    <w:rsid w:val="343524B2"/>
    <w:rsid w:val="34357FFF"/>
    <w:rsid w:val="345F23FD"/>
    <w:rsid w:val="34802092"/>
    <w:rsid w:val="34A36369"/>
    <w:rsid w:val="34C630A6"/>
    <w:rsid w:val="34C65E82"/>
    <w:rsid w:val="34CD6794"/>
    <w:rsid w:val="34F44E6F"/>
    <w:rsid w:val="34FA0F76"/>
    <w:rsid w:val="35010901"/>
    <w:rsid w:val="3506060C"/>
    <w:rsid w:val="35091591"/>
    <w:rsid w:val="350F0F1C"/>
    <w:rsid w:val="351033B6"/>
    <w:rsid w:val="3518510D"/>
    <w:rsid w:val="351B4D2E"/>
    <w:rsid w:val="35423150"/>
    <w:rsid w:val="354716F8"/>
    <w:rsid w:val="35855EE2"/>
    <w:rsid w:val="35987525"/>
    <w:rsid w:val="359D7886"/>
    <w:rsid w:val="365366A3"/>
    <w:rsid w:val="366208C9"/>
    <w:rsid w:val="36701DDD"/>
    <w:rsid w:val="3679323D"/>
    <w:rsid w:val="367B39F1"/>
    <w:rsid w:val="36977A9E"/>
    <w:rsid w:val="36B260C9"/>
    <w:rsid w:val="36DB3EF8"/>
    <w:rsid w:val="371E0A57"/>
    <w:rsid w:val="373553B6"/>
    <w:rsid w:val="37381826"/>
    <w:rsid w:val="3764396F"/>
    <w:rsid w:val="37661070"/>
    <w:rsid w:val="3775168B"/>
    <w:rsid w:val="377A5B12"/>
    <w:rsid w:val="3793032E"/>
    <w:rsid w:val="37972EC4"/>
    <w:rsid w:val="379E4A4D"/>
    <w:rsid w:val="37A07F50"/>
    <w:rsid w:val="37ED25CE"/>
    <w:rsid w:val="37FC73E0"/>
    <w:rsid w:val="37FD60EC"/>
    <w:rsid w:val="3807472F"/>
    <w:rsid w:val="388B5983"/>
    <w:rsid w:val="389926E7"/>
    <w:rsid w:val="38A322D3"/>
    <w:rsid w:val="38D00642"/>
    <w:rsid w:val="38D6254B"/>
    <w:rsid w:val="38E350E4"/>
    <w:rsid w:val="38E73AEB"/>
    <w:rsid w:val="38EF08A7"/>
    <w:rsid w:val="3941767C"/>
    <w:rsid w:val="398D4278"/>
    <w:rsid w:val="399602BB"/>
    <w:rsid w:val="399E1F94"/>
    <w:rsid w:val="39B479BB"/>
    <w:rsid w:val="39CC17DF"/>
    <w:rsid w:val="3A0208F7"/>
    <w:rsid w:val="3A422822"/>
    <w:rsid w:val="3A561743"/>
    <w:rsid w:val="3A9D7939"/>
    <w:rsid w:val="3ABA1467"/>
    <w:rsid w:val="3AD81BE3"/>
    <w:rsid w:val="3B1D39E0"/>
    <w:rsid w:val="3B3223AB"/>
    <w:rsid w:val="3B59226A"/>
    <w:rsid w:val="3B813EAA"/>
    <w:rsid w:val="3B8C5043"/>
    <w:rsid w:val="3BCA70A6"/>
    <w:rsid w:val="3BD244B2"/>
    <w:rsid w:val="3C14299D"/>
    <w:rsid w:val="3C352ED2"/>
    <w:rsid w:val="3C3E15E3"/>
    <w:rsid w:val="3C4433A8"/>
    <w:rsid w:val="3CA80C93"/>
    <w:rsid w:val="3CBD31B6"/>
    <w:rsid w:val="3CCC056A"/>
    <w:rsid w:val="3D052A7F"/>
    <w:rsid w:val="3D5D3C39"/>
    <w:rsid w:val="3D61263F"/>
    <w:rsid w:val="3D913C2B"/>
    <w:rsid w:val="3D9E5D28"/>
    <w:rsid w:val="3DBF38A8"/>
    <w:rsid w:val="3DCC1CEF"/>
    <w:rsid w:val="3DD119FA"/>
    <w:rsid w:val="3E1014DE"/>
    <w:rsid w:val="3E18436C"/>
    <w:rsid w:val="3E52324D"/>
    <w:rsid w:val="3E557A55"/>
    <w:rsid w:val="3E6B6375"/>
    <w:rsid w:val="3E83729F"/>
    <w:rsid w:val="3EDD6E27"/>
    <w:rsid w:val="3F362682"/>
    <w:rsid w:val="3F462059"/>
    <w:rsid w:val="3F473D44"/>
    <w:rsid w:val="3F640B0B"/>
    <w:rsid w:val="3F6D4B54"/>
    <w:rsid w:val="3FCD4CB7"/>
    <w:rsid w:val="3FDC2362"/>
    <w:rsid w:val="3FEF3F72"/>
    <w:rsid w:val="401776B5"/>
    <w:rsid w:val="4061451C"/>
    <w:rsid w:val="40830F63"/>
    <w:rsid w:val="40D62F6B"/>
    <w:rsid w:val="40E7450B"/>
    <w:rsid w:val="41461CA1"/>
    <w:rsid w:val="415625C0"/>
    <w:rsid w:val="4185310F"/>
    <w:rsid w:val="418F7450"/>
    <w:rsid w:val="41955928"/>
    <w:rsid w:val="41B71360"/>
    <w:rsid w:val="41BE70F2"/>
    <w:rsid w:val="41C44DF2"/>
    <w:rsid w:val="41C73B79"/>
    <w:rsid w:val="41CA6156"/>
    <w:rsid w:val="41D73E13"/>
    <w:rsid w:val="420115CE"/>
    <w:rsid w:val="425A3F23"/>
    <w:rsid w:val="427F7829"/>
    <w:rsid w:val="42920CC3"/>
    <w:rsid w:val="42B47F7E"/>
    <w:rsid w:val="42D65F34"/>
    <w:rsid w:val="43004B7A"/>
    <w:rsid w:val="43034954"/>
    <w:rsid w:val="43257338"/>
    <w:rsid w:val="433B1C9B"/>
    <w:rsid w:val="437656C5"/>
    <w:rsid w:val="43C732BE"/>
    <w:rsid w:val="442745DC"/>
    <w:rsid w:val="442A0DE4"/>
    <w:rsid w:val="444D01E4"/>
    <w:rsid w:val="445D4AB6"/>
    <w:rsid w:val="446247C1"/>
    <w:rsid w:val="44703AD7"/>
    <w:rsid w:val="44E14213"/>
    <w:rsid w:val="455F7B5C"/>
    <w:rsid w:val="459A6978"/>
    <w:rsid w:val="45AC718B"/>
    <w:rsid w:val="45B07DEB"/>
    <w:rsid w:val="45B872F1"/>
    <w:rsid w:val="45C168FC"/>
    <w:rsid w:val="45C81AEB"/>
    <w:rsid w:val="45CC0A5F"/>
    <w:rsid w:val="46113203"/>
    <w:rsid w:val="465D0F47"/>
    <w:rsid w:val="4662638F"/>
    <w:rsid w:val="46E25ADA"/>
    <w:rsid w:val="47307DD7"/>
    <w:rsid w:val="475B1F20"/>
    <w:rsid w:val="47691236"/>
    <w:rsid w:val="476D19DC"/>
    <w:rsid w:val="47E51E85"/>
    <w:rsid w:val="481D61BC"/>
    <w:rsid w:val="48202F63"/>
    <w:rsid w:val="48285669"/>
    <w:rsid w:val="48811D03"/>
    <w:rsid w:val="48834B0F"/>
    <w:rsid w:val="48AC07D9"/>
    <w:rsid w:val="48DC7083"/>
    <w:rsid w:val="49072EC0"/>
    <w:rsid w:val="49117305"/>
    <w:rsid w:val="4916351C"/>
    <w:rsid w:val="491F5EC6"/>
    <w:rsid w:val="495B1EA6"/>
    <w:rsid w:val="495C4EE9"/>
    <w:rsid w:val="497A134E"/>
    <w:rsid w:val="499872CD"/>
    <w:rsid w:val="49AE42D7"/>
    <w:rsid w:val="49C2488D"/>
    <w:rsid w:val="49CB1BAA"/>
    <w:rsid w:val="49EB6D57"/>
    <w:rsid w:val="4B014375"/>
    <w:rsid w:val="4B1267B9"/>
    <w:rsid w:val="4B1906C2"/>
    <w:rsid w:val="4B4E7897"/>
    <w:rsid w:val="4B7E0B59"/>
    <w:rsid w:val="4B901606"/>
    <w:rsid w:val="4BA1680A"/>
    <w:rsid w:val="4C244078"/>
    <w:rsid w:val="4C4F3FC2"/>
    <w:rsid w:val="4C58104F"/>
    <w:rsid w:val="4C691FD5"/>
    <w:rsid w:val="4CD710D4"/>
    <w:rsid w:val="4CD8739E"/>
    <w:rsid w:val="4CE566B4"/>
    <w:rsid w:val="4D1A10FE"/>
    <w:rsid w:val="4D216B2E"/>
    <w:rsid w:val="4D433F07"/>
    <w:rsid w:val="4D4D0662"/>
    <w:rsid w:val="4D6C6873"/>
    <w:rsid w:val="4D9B61E3"/>
    <w:rsid w:val="4D9F43E8"/>
    <w:rsid w:val="4DC43B24"/>
    <w:rsid w:val="4DE230D4"/>
    <w:rsid w:val="4E1857AC"/>
    <w:rsid w:val="4E4740FD"/>
    <w:rsid w:val="4E700716"/>
    <w:rsid w:val="4E8E6A70"/>
    <w:rsid w:val="4EB50EAE"/>
    <w:rsid w:val="4EB6029F"/>
    <w:rsid w:val="4EDD06BA"/>
    <w:rsid w:val="4EDE59FF"/>
    <w:rsid w:val="4EFD6CDC"/>
    <w:rsid w:val="4F161CF3"/>
    <w:rsid w:val="4F334FFF"/>
    <w:rsid w:val="4F4864E4"/>
    <w:rsid w:val="4F5147A8"/>
    <w:rsid w:val="4F94051C"/>
    <w:rsid w:val="4FA407B6"/>
    <w:rsid w:val="4FB50A50"/>
    <w:rsid w:val="4FC3106B"/>
    <w:rsid w:val="4FDF2F1A"/>
    <w:rsid w:val="4FF91545"/>
    <w:rsid w:val="4FFC24CA"/>
    <w:rsid w:val="500F75C2"/>
    <w:rsid w:val="50213603"/>
    <w:rsid w:val="506E5C81"/>
    <w:rsid w:val="50804090"/>
    <w:rsid w:val="508323A3"/>
    <w:rsid w:val="50C05A8B"/>
    <w:rsid w:val="50FD7AEE"/>
    <w:rsid w:val="51667545"/>
    <w:rsid w:val="51827D47"/>
    <w:rsid w:val="518357C9"/>
    <w:rsid w:val="51AC698D"/>
    <w:rsid w:val="51BD44CE"/>
    <w:rsid w:val="51DA61D7"/>
    <w:rsid w:val="51E15B62"/>
    <w:rsid w:val="52077FA0"/>
    <w:rsid w:val="522105B9"/>
    <w:rsid w:val="527B7CBB"/>
    <w:rsid w:val="52CF4481"/>
    <w:rsid w:val="52DB37FC"/>
    <w:rsid w:val="52E90593"/>
    <w:rsid w:val="53824C1F"/>
    <w:rsid w:val="53B45732"/>
    <w:rsid w:val="53D8021B"/>
    <w:rsid w:val="53E00EAB"/>
    <w:rsid w:val="5449519D"/>
    <w:rsid w:val="54766E20"/>
    <w:rsid w:val="54922ECD"/>
    <w:rsid w:val="54930424"/>
    <w:rsid w:val="54A23167"/>
    <w:rsid w:val="54A61B6E"/>
    <w:rsid w:val="54AD4D7C"/>
    <w:rsid w:val="54E64B55"/>
    <w:rsid w:val="54F77CF7"/>
    <w:rsid w:val="557A53C9"/>
    <w:rsid w:val="55C05B3D"/>
    <w:rsid w:val="55E81280"/>
    <w:rsid w:val="561B7A15"/>
    <w:rsid w:val="56460F02"/>
    <w:rsid w:val="565250AC"/>
    <w:rsid w:val="565E0EBF"/>
    <w:rsid w:val="566C5C56"/>
    <w:rsid w:val="56B41E25"/>
    <w:rsid w:val="56CB4F97"/>
    <w:rsid w:val="56D3344A"/>
    <w:rsid w:val="56D42182"/>
    <w:rsid w:val="56D50EBC"/>
    <w:rsid w:val="56E60023"/>
    <w:rsid w:val="5715646F"/>
    <w:rsid w:val="574127B6"/>
    <w:rsid w:val="576F2F50"/>
    <w:rsid w:val="579C6348"/>
    <w:rsid w:val="57A52C26"/>
    <w:rsid w:val="57AF636E"/>
    <w:rsid w:val="57CD4B04"/>
    <w:rsid w:val="57DE00B6"/>
    <w:rsid w:val="57E809C6"/>
    <w:rsid w:val="57FD096B"/>
    <w:rsid w:val="58111B8A"/>
    <w:rsid w:val="583110A7"/>
    <w:rsid w:val="583A7D04"/>
    <w:rsid w:val="587A7F35"/>
    <w:rsid w:val="58A80E04"/>
    <w:rsid w:val="58EB4D70"/>
    <w:rsid w:val="590C0B28"/>
    <w:rsid w:val="591B7ABE"/>
    <w:rsid w:val="5970084D"/>
    <w:rsid w:val="599D591B"/>
    <w:rsid w:val="59D062E8"/>
    <w:rsid w:val="59F355A3"/>
    <w:rsid w:val="5A682D95"/>
    <w:rsid w:val="5A744438"/>
    <w:rsid w:val="5A964DAC"/>
    <w:rsid w:val="5A9F56BB"/>
    <w:rsid w:val="5AAF779E"/>
    <w:rsid w:val="5B1D1CFE"/>
    <w:rsid w:val="5B232365"/>
    <w:rsid w:val="5B3B333C"/>
    <w:rsid w:val="5B767BC7"/>
    <w:rsid w:val="5BA26C0E"/>
    <w:rsid w:val="5BB3647D"/>
    <w:rsid w:val="5BD57CB7"/>
    <w:rsid w:val="5C1C5927"/>
    <w:rsid w:val="5C366A56"/>
    <w:rsid w:val="5C3F5168"/>
    <w:rsid w:val="5C646765"/>
    <w:rsid w:val="5C890A5F"/>
    <w:rsid w:val="5CA60C53"/>
    <w:rsid w:val="5CBC5269"/>
    <w:rsid w:val="5CCA72CA"/>
    <w:rsid w:val="5CE65575"/>
    <w:rsid w:val="5CF83C5F"/>
    <w:rsid w:val="5D082632"/>
    <w:rsid w:val="5D204456"/>
    <w:rsid w:val="5D323FC2"/>
    <w:rsid w:val="5D6B326F"/>
    <w:rsid w:val="5D85547F"/>
    <w:rsid w:val="5D934795"/>
    <w:rsid w:val="5DB501CC"/>
    <w:rsid w:val="5DD2614B"/>
    <w:rsid w:val="5DD45079"/>
    <w:rsid w:val="5E557AE0"/>
    <w:rsid w:val="5E85179E"/>
    <w:rsid w:val="5E8F5931"/>
    <w:rsid w:val="5EC86D90"/>
    <w:rsid w:val="5EDC21AD"/>
    <w:rsid w:val="5EE62ABD"/>
    <w:rsid w:val="5EEA4D46"/>
    <w:rsid w:val="5EF7046C"/>
    <w:rsid w:val="5F107C5C"/>
    <w:rsid w:val="5F26484A"/>
    <w:rsid w:val="5F267129"/>
    <w:rsid w:val="5F4E11E7"/>
    <w:rsid w:val="5FA62A45"/>
    <w:rsid w:val="5FBB761D"/>
    <w:rsid w:val="5FE82423"/>
    <w:rsid w:val="606A3F3D"/>
    <w:rsid w:val="60785451"/>
    <w:rsid w:val="607A107A"/>
    <w:rsid w:val="60983693"/>
    <w:rsid w:val="60F715A3"/>
    <w:rsid w:val="61792C4D"/>
    <w:rsid w:val="617A26B6"/>
    <w:rsid w:val="61A813C7"/>
    <w:rsid w:val="61AF5FAD"/>
    <w:rsid w:val="61CE461E"/>
    <w:rsid w:val="621B5E82"/>
    <w:rsid w:val="621E42D6"/>
    <w:rsid w:val="623428D5"/>
    <w:rsid w:val="62464748"/>
    <w:rsid w:val="629A41D2"/>
    <w:rsid w:val="62A370DB"/>
    <w:rsid w:val="62CA40D4"/>
    <w:rsid w:val="63080089"/>
    <w:rsid w:val="632B1543"/>
    <w:rsid w:val="632D4A46"/>
    <w:rsid w:val="636935A6"/>
    <w:rsid w:val="63737739"/>
    <w:rsid w:val="63846BFA"/>
    <w:rsid w:val="63A55989"/>
    <w:rsid w:val="63AA1E11"/>
    <w:rsid w:val="63B95BA4"/>
    <w:rsid w:val="63E268F1"/>
    <w:rsid w:val="63F23557"/>
    <w:rsid w:val="63FE2FD4"/>
    <w:rsid w:val="641C6E32"/>
    <w:rsid w:val="64835B4F"/>
    <w:rsid w:val="649D1A0B"/>
    <w:rsid w:val="64D7377C"/>
    <w:rsid w:val="64E96A79"/>
    <w:rsid w:val="64F81942"/>
    <w:rsid w:val="656868EF"/>
    <w:rsid w:val="65AD24DB"/>
    <w:rsid w:val="65E9543A"/>
    <w:rsid w:val="65FE792C"/>
    <w:rsid w:val="66595E77"/>
    <w:rsid w:val="665E2C03"/>
    <w:rsid w:val="66994E12"/>
    <w:rsid w:val="66A504F5"/>
    <w:rsid w:val="66A717F9"/>
    <w:rsid w:val="66D734E4"/>
    <w:rsid w:val="670B151E"/>
    <w:rsid w:val="68364CD7"/>
    <w:rsid w:val="683D678A"/>
    <w:rsid w:val="683D7311"/>
    <w:rsid w:val="6876296E"/>
    <w:rsid w:val="68BC3A77"/>
    <w:rsid w:val="68BF65E6"/>
    <w:rsid w:val="68C3086F"/>
    <w:rsid w:val="68C92778"/>
    <w:rsid w:val="68D5400D"/>
    <w:rsid w:val="68EA072F"/>
    <w:rsid w:val="690D79EA"/>
    <w:rsid w:val="698A2836"/>
    <w:rsid w:val="69C30412"/>
    <w:rsid w:val="69DA0037"/>
    <w:rsid w:val="69DB5AB9"/>
    <w:rsid w:val="69F3315F"/>
    <w:rsid w:val="6A11393B"/>
    <w:rsid w:val="6A2668E1"/>
    <w:rsid w:val="6A301CE3"/>
    <w:rsid w:val="6A3337AC"/>
    <w:rsid w:val="6A406AE2"/>
    <w:rsid w:val="6A426762"/>
    <w:rsid w:val="6A4576E6"/>
    <w:rsid w:val="6A484E25"/>
    <w:rsid w:val="6A4F7FF6"/>
    <w:rsid w:val="6A6D2E29"/>
    <w:rsid w:val="6A953FED"/>
    <w:rsid w:val="6A9C3978"/>
    <w:rsid w:val="6AAF4B97"/>
    <w:rsid w:val="6B3A6CFA"/>
    <w:rsid w:val="6B4A74E9"/>
    <w:rsid w:val="6B826114"/>
    <w:rsid w:val="6BDD159D"/>
    <w:rsid w:val="6C260B0A"/>
    <w:rsid w:val="6C2C1B05"/>
    <w:rsid w:val="6C4D7ABB"/>
    <w:rsid w:val="6C5D5B58"/>
    <w:rsid w:val="6C783074"/>
    <w:rsid w:val="6C7E3B0E"/>
    <w:rsid w:val="6C837A94"/>
    <w:rsid w:val="6C951535"/>
    <w:rsid w:val="6CAF5292"/>
    <w:rsid w:val="6CFD7C5F"/>
    <w:rsid w:val="6D827EB8"/>
    <w:rsid w:val="6DE71DDB"/>
    <w:rsid w:val="6E04519C"/>
    <w:rsid w:val="6E3B72E7"/>
    <w:rsid w:val="6E580E15"/>
    <w:rsid w:val="6E5A4318"/>
    <w:rsid w:val="6E6B2034"/>
    <w:rsid w:val="6E6F683C"/>
    <w:rsid w:val="6E7D35D3"/>
    <w:rsid w:val="6E985482"/>
    <w:rsid w:val="6E992F04"/>
    <w:rsid w:val="6EA0700B"/>
    <w:rsid w:val="6EAD1BA4"/>
    <w:rsid w:val="6ED53C62"/>
    <w:rsid w:val="6ED84BE7"/>
    <w:rsid w:val="6EE67780"/>
    <w:rsid w:val="6EE704D9"/>
    <w:rsid w:val="6EFC4301"/>
    <w:rsid w:val="6F1838F3"/>
    <w:rsid w:val="6F563B40"/>
    <w:rsid w:val="6F896F89"/>
    <w:rsid w:val="6F8A4A0A"/>
    <w:rsid w:val="6FA0300D"/>
    <w:rsid w:val="6FAD1747"/>
    <w:rsid w:val="6FC700F2"/>
    <w:rsid w:val="6FD20682"/>
    <w:rsid w:val="6FE85F9F"/>
    <w:rsid w:val="6FEB5B12"/>
    <w:rsid w:val="70237187"/>
    <w:rsid w:val="703C052B"/>
    <w:rsid w:val="704509C1"/>
    <w:rsid w:val="704C254A"/>
    <w:rsid w:val="706B757B"/>
    <w:rsid w:val="707B5618"/>
    <w:rsid w:val="70984BC8"/>
    <w:rsid w:val="70A3656C"/>
    <w:rsid w:val="70A5645C"/>
    <w:rsid w:val="70AB3BE8"/>
    <w:rsid w:val="70AF181F"/>
    <w:rsid w:val="70B0226E"/>
    <w:rsid w:val="70ED4030"/>
    <w:rsid w:val="71167A14"/>
    <w:rsid w:val="71204A27"/>
    <w:rsid w:val="71330988"/>
    <w:rsid w:val="713E673B"/>
    <w:rsid w:val="71542D7C"/>
    <w:rsid w:val="718070C4"/>
    <w:rsid w:val="718E3E69"/>
    <w:rsid w:val="71A51882"/>
    <w:rsid w:val="71A943D4"/>
    <w:rsid w:val="71E75B6E"/>
    <w:rsid w:val="71EF2146"/>
    <w:rsid w:val="7204189B"/>
    <w:rsid w:val="720C252B"/>
    <w:rsid w:val="72205E2D"/>
    <w:rsid w:val="72661558"/>
    <w:rsid w:val="72AC3A77"/>
    <w:rsid w:val="730274EC"/>
    <w:rsid w:val="731301DE"/>
    <w:rsid w:val="7318110C"/>
    <w:rsid w:val="7372081D"/>
    <w:rsid w:val="738B621F"/>
    <w:rsid w:val="73A744CA"/>
    <w:rsid w:val="73AB0CD2"/>
    <w:rsid w:val="73B0192A"/>
    <w:rsid w:val="73C86084"/>
    <w:rsid w:val="73D07860"/>
    <w:rsid w:val="740828A2"/>
    <w:rsid w:val="74144E7E"/>
    <w:rsid w:val="743C6043"/>
    <w:rsid w:val="7457466E"/>
    <w:rsid w:val="7457538A"/>
    <w:rsid w:val="74C1629C"/>
    <w:rsid w:val="74CF151E"/>
    <w:rsid w:val="74F94408"/>
    <w:rsid w:val="757137F2"/>
    <w:rsid w:val="75B8552F"/>
    <w:rsid w:val="75DC7CED"/>
    <w:rsid w:val="75E14175"/>
    <w:rsid w:val="76507F8B"/>
    <w:rsid w:val="76931A1A"/>
    <w:rsid w:val="769813AA"/>
    <w:rsid w:val="76C46966"/>
    <w:rsid w:val="771672C3"/>
    <w:rsid w:val="77214B01"/>
    <w:rsid w:val="772F1899"/>
    <w:rsid w:val="77AB3B0A"/>
    <w:rsid w:val="77BA67F0"/>
    <w:rsid w:val="77E67A2B"/>
    <w:rsid w:val="77F160D3"/>
    <w:rsid w:val="782642CC"/>
    <w:rsid w:val="78623556"/>
    <w:rsid w:val="788B62D2"/>
    <w:rsid w:val="78BA359E"/>
    <w:rsid w:val="79507314"/>
    <w:rsid w:val="796A5940"/>
    <w:rsid w:val="798B16F8"/>
    <w:rsid w:val="79E36412"/>
    <w:rsid w:val="79E41D86"/>
    <w:rsid w:val="79EA7513"/>
    <w:rsid w:val="7A017138"/>
    <w:rsid w:val="7A307C87"/>
    <w:rsid w:val="7A607EF5"/>
    <w:rsid w:val="7A7F70CA"/>
    <w:rsid w:val="7AB052CE"/>
    <w:rsid w:val="7B0271A1"/>
    <w:rsid w:val="7B1511FF"/>
    <w:rsid w:val="7B2A7E9F"/>
    <w:rsid w:val="7B5A2BED"/>
    <w:rsid w:val="7B7A720B"/>
    <w:rsid w:val="7BB57A83"/>
    <w:rsid w:val="7C030C87"/>
    <w:rsid w:val="7C043085"/>
    <w:rsid w:val="7CB47F6B"/>
    <w:rsid w:val="7D040A2A"/>
    <w:rsid w:val="7D2B5066"/>
    <w:rsid w:val="7D4C0E1E"/>
    <w:rsid w:val="7D603342"/>
    <w:rsid w:val="7D701F65"/>
    <w:rsid w:val="7D751CB9"/>
    <w:rsid w:val="7D8D510B"/>
    <w:rsid w:val="7D913B11"/>
    <w:rsid w:val="7DCE343B"/>
    <w:rsid w:val="7DFE2E40"/>
    <w:rsid w:val="7E086FD3"/>
    <w:rsid w:val="7E444CE2"/>
    <w:rsid w:val="7E757593"/>
    <w:rsid w:val="7E7C6F92"/>
    <w:rsid w:val="7E944638"/>
    <w:rsid w:val="7EDB4BD4"/>
    <w:rsid w:val="7EF26C55"/>
    <w:rsid w:val="7F1C1099"/>
    <w:rsid w:val="7F4C2DEE"/>
    <w:rsid w:val="7F8A16CD"/>
    <w:rsid w:val="7F8F791E"/>
    <w:rsid w:val="7FEB4435"/>
    <w:rsid w:val="7FFC0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kern w:val="2"/>
      <w:sz w:val="21"/>
      <w:szCs w:val="22"/>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outlineLvl w:val="1"/>
    </w:pPr>
    <w:rPr>
      <w:rFonts w:ascii="Times New Roman" w:hAnsi="Times New Roman" w:eastAsia="黑体"/>
    </w:rPr>
  </w:style>
  <w:style w:type="paragraph" w:styleId="5">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6">
    <w:name w:val="heading 4"/>
    <w:basedOn w:val="1"/>
    <w:next w:val="1"/>
    <w:unhideWhenUsed/>
    <w:qFormat/>
    <w:uiPriority w:val="0"/>
    <w:pPr>
      <w:keepNext/>
      <w:keepLines/>
      <w:outlineLvl w:val="3"/>
    </w:pPr>
    <w:rPr>
      <w:rFonts w:ascii="Times New Roman" w:hAnsi="Times New Roman" w:eastAsia="黑体"/>
    </w:rPr>
  </w:style>
  <w:style w:type="paragraph" w:styleId="7">
    <w:name w:val="heading 5"/>
    <w:basedOn w:val="1"/>
    <w:next w:val="1"/>
    <w:link w:val="6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49"/>
    <w:semiHidden/>
    <w:unhideWhenUsed/>
    <w:qFormat/>
    <w:uiPriority w:val="99"/>
    <w:pPr>
      <w:jc w:val="left"/>
    </w:pPr>
  </w:style>
  <w:style w:type="paragraph" w:styleId="10">
    <w:name w:val="toc 3"/>
    <w:basedOn w:val="1"/>
    <w:next w:val="1"/>
    <w:unhideWhenUsed/>
    <w:qFormat/>
    <w:uiPriority w:val="39"/>
    <w:pPr>
      <w:ind w:left="200" w:leftChars="200"/>
    </w:pPr>
  </w:style>
  <w:style w:type="paragraph" w:styleId="11">
    <w:name w:val="footer"/>
    <w:basedOn w:val="1"/>
    <w:link w:val="28"/>
    <w:unhideWhenUsed/>
    <w:qFormat/>
    <w:uiPriority w:val="99"/>
    <w:pPr>
      <w:widowControl/>
      <w:tabs>
        <w:tab w:val="center" w:pos="4680"/>
        <w:tab w:val="right" w:pos="9360"/>
      </w:tabs>
      <w:jc w:val="left"/>
    </w:pPr>
    <w:rPr>
      <w:rFonts w:cs="Times New Roman"/>
      <w:kern w:val="0"/>
      <w:sz w:val="22"/>
    </w:rPr>
  </w:style>
  <w:style w:type="paragraph" w:styleId="12">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4"/>
    <w:autoRedefine/>
    <w:unhideWhenUsed/>
    <w:qFormat/>
    <w:uiPriority w:val="39"/>
    <w:pPr>
      <w:tabs>
        <w:tab w:val="right" w:leader="dot" w:pos="9344"/>
      </w:tabs>
      <w:spacing w:before="78" w:beforeLines="25" w:after="78" w:afterLines="25"/>
    </w:pPr>
  </w:style>
  <w:style w:type="paragraph" w:styleId="14">
    <w:name w:val="toc 2"/>
    <w:basedOn w:val="1"/>
    <w:next w:val="1"/>
    <w:autoRedefine/>
    <w:unhideWhenUsed/>
    <w:qFormat/>
    <w:uiPriority w:val="39"/>
    <w:pPr>
      <w:ind w:left="100" w:leftChars="100"/>
    </w:pPr>
  </w:style>
  <w:style w:type="paragraph" w:styleId="1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6">
    <w:name w:val="Normal (Web)"/>
    <w:basedOn w:val="1"/>
    <w:unhideWhenUsed/>
    <w:qFormat/>
    <w:uiPriority w:val="99"/>
    <w:pPr>
      <w:spacing w:beforeAutospacing="1" w:afterAutospacing="1"/>
      <w:jc w:val="left"/>
    </w:pPr>
    <w:rPr>
      <w:rFonts w:cs="Times New Roman"/>
      <w:kern w:val="0"/>
      <w:sz w:val="24"/>
    </w:rPr>
  </w:style>
  <w:style w:type="paragraph" w:styleId="17">
    <w:name w:val="annotation subject"/>
    <w:basedOn w:val="9"/>
    <w:next w:val="9"/>
    <w:link w:val="50"/>
    <w:semiHidden/>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paragraph" w:customStyle="1" w:styleId="24">
    <w:name w:val="表格内容"/>
    <w:basedOn w:val="25"/>
    <w:next w:val="25"/>
    <w:qFormat/>
    <w:uiPriority w:val="0"/>
    <w:pPr>
      <w:widowControl w:val="0"/>
    </w:pPr>
    <w:rPr>
      <w:rFonts w:cstheme="minorBidi"/>
      <w:snapToGrid w:val="0"/>
      <w:color w:val="000000"/>
      <w:kern w:val="2"/>
      <w:sz w:val="18"/>
      <w:szCs w:val="22"/>
      <w:lang w:eastAsia="en-US"/>
    </w:rPr>
  </w:style>
  <w:style w:type="paragraph" w:customStyle="1" w:styleId="25">
    <w:name w:val="段"/>
    <w:link w:val="29"/>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
    <w:name w:val="偶数页眉"/>
    <w:qFormat/>
    <w:uiPriority w:val="0"/>
    <w:rPr>
      <w:rFonts w:ascii="黑体" w:hAnsi="黑体" w:eastAsia="黑体" w:cs="Times New Roman"/>
      <w:sz w:val="21"/>
      <w:szCs w:val="21"/>
      <w:lang w:val="en-US" w:eastAsia="zh-CN" w:bidi="ar-SA"/>
    </w:rPr>
  </w:style>
  <w:style w:type="paragraph" w:customStyle="1" w:styleId="27">
    <w:name w:val="术语条目"/>
    <w:qFormat/>
    <w:uiPriority w:val="0"/>
    <w:rPr>
      <w:rFonts w:ascii="黑体" w:hAnsi="黑体" w:eastAsia="黑体" w:cs="Times New Roman"/>
      <w:sz w:val="21"/>
      <w:szCs w:val="21"/>
      <w:lang w:val="en-US" w:eastAsia="zh-CN" w:bidi="ar-SA"/>
    </w:rPr>
  </w:style>
  <w:style w:type="character" w:customStyle="1" w:styleId="28">
    <w:name w:val="页脚 字符"/>
    <w:basedOn w:val="20"/>
    <w:link w:val="11"/>
    <w:qFormat/>
    <w:uiPriority w:val="99"/>
    <w:rPr>
      <w:rFonts w:asciiTheme="minorHAnsi" w:hAnsiTheme="minorHAnsi" w:eastAsiaTheme="minorEastAsia"/>
      <w:sz w:val="22"/>
      <w:szCs w:val="22"/>
    </w:rPr>
  </w:style>
  <w:style w:type="character" w:customStyle="1" w:styleId="29">
    <w:name w:val="段 Char"/>
    <w:link w:val="25"/>
    <w:qFormat/>
    <w:uiPriority w:val="0"/>
    <w:rPr>
      <w:rFonts w:ascii="宋体" w:hAnsi="宋体"/>
      <w:sz w:val="21"/>
    </w:rPr>
  </w:style>
  <w:style w:type="paragraph" w:customStyle="1" w:styleId="30">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前言、引言标题"/>
    <w:next w:val="25"/>
    <w:qFormat/>
    <w:uiPriority w:val="0"/>
    <w:pPr>
      <w:keepNext/>
      <w:pageBreakBefore/>
      <w:shd w:val="clear" w:color="FFFFFF" w:fill="FFFFFF"/>
      <w:spacing w:before="567" w:after="680"/>
      <w:jc w:val="center"/>
      <w:outlineLvl w:val="0"/>
    </w:pPr>
    <w:rPr>
      <w:rFonts w:ascii="黑体" w:hAnsi="Times New Roman" w:eastAsia="黑体" w:cs="Times New Roman"/>
      <w:sz w:val="32"/>
      <w:lang w:val="en-US" w:eastAsia="zh-CN" w:bidi="ar-SA"/>
    </w:rPr>
  </w:style>
  <w:style w:type="paragraph" w:customStyle="1" w:styleId="38">
    <w:name w:val="一级条标题"/>
    <w:basedOn w:val="39"/>
    <w:next w:val="25"/>
    <w:qFormat/>
    <w:uiPriority w:val="0"/>
    <w:pPr>
      <w:keepNext/>
      <w:spacing w:before="156" w:beforeLines="50" w:after="156" w:afterLines="50"/>
      <w:jc w:val="left"/>
      <w:outlineLvl w:val="1"/>
    </w:pPr>
    <w:rPr>
      <w:szCs w:val="21"/>
    </w:rPr>
  </w:style>
  <w:style w:type="paragraph" w:customStyle="1" w:styleId="39">
    <w:name w:val="章标题"/>
    <w:next w:val="25"/>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40">
    <w:name w:val="二级条标题"/>
    <w:basedOn w:val="38"/>
    <w:next w:val="25"/>
    <w:qFormat/>
    <w:uiPriority w:val="0"/>
    <w:pPr>
      <w:outlineLvl w:val="2"/>
    </w:pPr>
  </w:style>
  <w:style w:type="paragraph" w:customStyle="1" w:styleId="41">
    <w:name w:val="目次、标准名称标题"/>
    <w:basedOn w:val="1"/>
    <w:next w:val="25"/>
    <w:qFormat/>
    <w:uiPriority w:val="0"/>
    <w:pPr>
      <w:keepNext/>
      <w:pageBreakBefore/>
      <w:widowControl/>
      <w:shd w:val="clear" w:color="FFFFFF" w:fill="FFFFFF"/>
      <w:spacing w:before="567" w:after="680" w:line="460" w:lineRule="exact"/>
      <w:jc w:val="center"/>
    </w:pPr>
    <w:rPr>
      <w:rFonts w:ascii="黑体" w:hAnsi="黑体" w:eastAsia="黑体" w:cs="Times New Roman"/>
      <w:kern w:val="0"/>
      <w:sz w:val="32"/>
      <w:szCs w:val="20"/>
    </w:rPr>
  </w:style>
  <w:style w:type="paragraph" w:customStyle="1" w:styleId="42">
    <w:name w:val="三级条标题"/>
    <w:basedOn w:val="40"/>
    <w:next w:val="25"/>
    <w:qFormat/>
    <w:uiPriority w:val="0"/>
    <w:pPr>
      <w:outlineLvl w:val="4"/>
    </w:pPr>
  </w:style>
  <w:style w:type="paragraph" w:customStyle="1" w:styleId="43">
    <w:name w:val="四级条标题"/>
    <w:basedOn w:val="42"/>
    <w:next w:val="25"/>
    <w:qFormat/>
    <w:uiPriority w:val="0"/>
    <w:pPr>
      <w:outlineLvl w:val="5"/>
    </w:pPr>
  </w:style>
  <w:style w:type="paragraph" w:customStyle="1" w:styleId="44">
    <w:name w:val="五级条标题"/>
    <w:basedOn w:val="43"/>
    <w:next w:val="25"/>
    <w:qFormat/>
    <w:uiPriority w:val="0"/>
    <w:pPr>
      <w:outlineLvl w:val="6"/>
    </w:pPr>
  </w:style>
  <w:style w:type="paragraph" w:customStyle="1" w:styleId="45">
    <w:name w:val="正文表标题"/>
    <w:next w:val="25"/>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6">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7">
    <w:name w:val="二级无"/>
    <w:basedOn w:val="40"/>
    <w:autoRedefine/>
    <w:qFormat/>
    <w:uiPriority w:val="0"/>
    <w:rPr>
      <w:rFonts w:ascii="宋体" w:eastAsia="宋体"/>
    </w:rPr>
  </w:style>
  <w:style w:type="paragraph" w:customStyle="1" w:styleId="48">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9">
    <w:name w:val="批注文字 字符"/>
    <w:basedOn w:val="20"/>
    <w:link w:val="9"/>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7"/>
    <w:semiHidden/>
    <w:qFormat/>
    <w:uiPriority w:val="99"/>
    <w:rPr>
      <w:rFonts w:asciiTheme="minorHAnsi" w:hAnsiTheme="minorHAnsi" w:eastAsiaTheme="minorEastAsia" w:cstheme="minorBidi"/>
      <w:b/>
      <w:bCs/>
      <w:kern w:val="2"/>
      <w:sz w:val="21"/>
      <w:szCs w:val="22"/>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53">
    <w:name w:val="List Paragraph"/>
    <w:basedOn w:val="1"/>
    <w:unhideWhenUsed/>
    <w:qFormat/>
    <w:uiPriority w:val="99"/>
    <w:pPr>
      <w:ind w:firstLine="420" w:firstLineChars="200"/>
    </w:pPr>
  </w:style>
  <w:style w:type="paragraph" w:customStyle="1" w:styleId="54">
    <w:name w:val="附录标题"/>
    <w:basedOn w:val="37"/>
    <w:next w:val="1"/>
    <w:qFormat/>
    <w:uiPriority w:val="0"/>
    <w:pPr>
      <w:spacing w:after="0"/>
    </w:pPr>
  </w:style>
  <w:style w:type="table" w:customStyle="1" w:styleId="55">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6">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7">
    <w:name w:val="未处理的提及1"/>
    <w:basedOn w:val="20"/>
    <w:semiHidden/>
    <w:unhideWhenUsed/>
    <w:qFormat/>
    <w:uiPriority w:val="99"/>
    <w:rPr>
      <w:color w:val="605E5C"/>
      <w:shd w:val="clear" w:color="auto" w:fill="E1DFDD"/>
    </w:rPr>
  </w:style>
  <w:style w:type="paragraph" w:customStyle="1" w:styleId="58">
    <w:name w:val="奇数页码"/>
    <w:link w:val="63"/>
    <w:qFormat/>
    <w:uiPriority w:val="0"/>
    <w:pPr>
      <w:ind w:right="227"/>
      <w:jc w:val="right"/>
    </w:pPr>
    <w:rPr>
      <w:rFonts w:ascii="宋体" w:hAnsi="宋体" w:eastAsia="宋体" w:cstheme="minorBidi"/>
      <w:kern w:val="2"/>
      <w:sz w:val="18"/>
      <w:szCs w:val="18"/>
      <w:lang w:val="en-US" w:eastAsia="zh-CN" w:bidi="ar-SA"/>
    </w:rPr>
  </w:style>
  <w:style w:type="paragraph" w:customStyle="1" w:styleId="59">
    <w:name w:val="偶数页码"/>
    <w:link w:val="64"/>
    <w:qFormat/>
    <w:uiPriority w:val="0"/>
    <w:pPr>
      <w:ind w:left="227"/>
    </w:pPr>
    <w:rPr>
      <w:rFonts w:ascii="宋体" w:hAnsi="宋体" w:eastAsia="宋体" w:cstheme="minorBidi"/>
      <w:kern w:val="2"/>
      <w:sz w:val="18"/>
      <w:szCs w:val="18"/>
      <w:lang w:val="en-US" w:eastAsia="zh-CN" w:bidi="ar-SA"/>
    </w:rPr>
  </w:style>
  <w:style w:type="character" w:customStyle="1" w:styleId="60">
    <w:name w:val="标题 1 字符"/>
    <w:basedOn w:val="20"/>
    <w:link w:val="3"/>
    <w:qFormat/>
    <w:uiPriority w:val="9"/>
    <w:rPr>
      <w:rFonts w:asciiTheme="minorHAnsi" w:hAnsiTheme="minorHAnsi" w:eastAsiaTheme="minorEastAsia" w:cstheme="minorBidi"/>
      <w:b/>
      <w:bCs/>
      <w:kern w:val="44"/>
      <w:sz w:val="44"/>
      <w:szCs w:val="44"/>
    </w:rPr>
  </w:style>
  <w:style w:type="character" w:customStyle="1" w:styleId="61">
    <w:name w:val="标题 5 字符"/>
    <w:basedOn w:val="20"/>
    <w:link w:val="7"/>
    <w:semiHidden/>
    <w:qFormat/>
    <w:uiPriority w:val="9"/>
    <w:rPr>
      <w:rFonts w:ascii="宋体" w:hAnsi="宋体" w:cstheme="minorBidi"/>
      <w:b/>
      <w:bCs/>
      <w:kern w:val="2"/>
      <w:sz w:val="28"/>
      <w:szCs w:val="28"/>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63">
    <w:name w:val="奇数页码 Char"/>
    <w:link w:val="58"/>
    <w:qFormat/>
    <w:uiPriority w:val="0"/>
    <w:rPr>
      <w:rFonts w:ascii="宋体" w:hAnsi="宋体" w:eastAsia="宋体" w:cstheme="minorBidi"/>
      <w:kern w:val="2"/>
      <w:sz w:val="18"/>
      <w:szCs w:val="18"/>
      <w:lang w:val="en-US" w:eastAsia="zh-CN" w:bidi="ar-SA"/>
    </w:rPr>
  </w:style>
  <w:style w:type="character" w:customStyle="1" w:styleId="64">
    <w:name w:val="偶数页码 Char"/>
    <w:link w:val="59"/>
    <w:qFormat/>
    <w:uiPriority w:val="0"/>
    <w:rPr>
      <w:rFonts w:ascii="宋体" w:hAnsi="宋体" w:eastAsia="宋体" w:cstheme="minorBidi"/>
      <w:kern w:val="2"/>
      <w:sz w:val="18"/>
      <w:szCs w:val="18"/>
      <w:lang w:val="en-US" w:eastAsia="zh-CN" w:bidi="ar-SA"/>
    </w:rPr>
  </w:style>
  <w:style w:type="paragraph" w:customStyle="1" w:styleId="65">
    <w:name w:val="Revision"/>
    <w:hidden/>
    <w:unhideWhenUsed/>
    <w:qFormat/>
    <w:uiPriority w:val="99"/>
    <w:rPr>
      <w:rFonts w:ascii="宋体" w:hAnsi="宋体"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4.tiff"/><Relationship Id="rId33" Type="http://schemas.openxmlformats.org/officeDocument/2006/relationships/image" Target="media/image3.tiff"/><Relationship Id="rId32" Type="http://schemas.openxmlformats.org/officeDocument/2006/relationships/image" Target="media/image2.wmf"/><Relationship Id="rId31" Type="http://schemas.openxmlformats.org/officeDocument/2006/relationships/oleObject" Target="embeddings/oleObject2.bin"/><Relationship Id="rId30" Type="http://schemas.openxmlformats.org/officeDocument/2006/relationships/image" Target="media/image1.wmf"/><Relationship Id="rId3" Type="http://schemas.openxmlformats.org/officeDocument/2006/relationships/header" Target="header1.xml"/><Relationship Id="rId29" Type="http://schemas.openxmlformats.org/officeDocument/2006/relationships/oleObject" Target="embeddings/oleObject1.bin"/><Relationship Id="rId28" Type="http://schemas.openxmlformats.org/officeDocument/2006/relationships/theme" Target="theme/theme1.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15</Pages>
  <Words>3457</Words>
  <Characters>4356</Characters>
  <Lines>363</Lines>
  <Paragraphs>372</Paragraphs>
  <TotalTime>0</TotalTime>
  <ScaleCrop>false</ScaleCrop>
  <LinksUpToDate>false</LinksUpToDate>
  <CharactersWithSpaces>7441</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刘典云</cp:lastModifiedBy>
  <cp:lastPrinted>2025-03-07T02:19:00Z</cp:lastPrinted>
  <dcterms:modified xsi:type="dcterms:W3CDTF">2025-12-11T09:02:26Z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FA28923A0B124C3BB9CC6D4F55D56882_13</vt:lpwstr>
  </property>
  <property fmtid="{D5CDD505-2E9C-101B-9397-08002B2CF9AE}" pid="4" name="KSOTemplateDocerSaveRecord">
    <vt:lpwstr>eyJoZGlkIjoiOGUwZjBiNjgxZjRhYmQ0N2JkMGQ3YmZkZjNmZWE5ZWQiLCJ1c2VySWQiOiIyOTc3OTkzOTgifQ==</vt:lpwstr>
  </property>
</Properties>
</file>